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2025 года № 415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я 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порядке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определени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кадастровой стоимости недвижимого имущества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</w:t>
      </w:r>
      <w:hyperlink w:history="1" r:id="rIdjfjczphbwztl4o78woi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оценочной деятельности», в соответствии со статьями </w:t>
      </w:r>
      <w:hyperlink w:history="1" r:id="rIdu0lbrekqd2dk7lupblf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zchwm394yb5-kuzozh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zeeopx1w4xzr7osmvi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порядке</w:t>
      </w:r>
      <w:r>
        <w:rPr>
          <w:rFonts w:ascii="Arial" w:cs="Arial" w:eastAsia="Arial" w:hAnsi="Arial"/>
          <w:sz w:val="24"/>
          <w:szCs w:val="24"/>
        </w:rPr>
        <w:t xml:space="preserve"> определени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 кадастровой стоимости недвижимого имущества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rxuwwxx9plm_pulj2f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ls6exrwwxlcdrgri0nu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собственности» от 23 сентября 2011 года № 571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wryg1aei4odoqip3-5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 дополнить абзацем восьмым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«кадастровая оценка – стоимость земельного участка, установленная уполномоченным государственным органом в сфере определения кадастровой стоимости;»;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четвертый пункта 33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37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«37. Для стартовой стоимости сформированного земельного участка применяется кадастровая стоимость, установленная уполномоченным</w:t>
      </w:r>
      <w:r>
        <w:rPr>
          <w:rFonts w:ascii="Arial" w:cs="Arial" w:eastAsia="Arial" w:hAnsi="Arial"/>
          <w:sz w:val="24"/>
          <w:szCs w:val="24"/>
        </w:rPr>
        <w:t xml:space="preserve">государственным органом в сфере определения кадастровой стоимости, в</w:t>
      </w:r>
      <w:r>
        <w:rPr>
          <w:rFonts w:ascii="Arial" w:cs="Arial" w:eastAsia="Arial" w:hAnsi="Arial"/>
          <w:sz w:val="24"/>
          <w:szCs w:val="24"/>
        </w:rPr>
        <w:t xml:space="preserve">соответствии с порядком кадастровой оценки, определенным Кабинетом</w:t>
      </w: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законодательством Кыргызской Республики, оценка стоимости земельного участка определяется с привлечением независимых оценщиков недвижимости.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роведение независимой оценки осуществляется в течение 10 рабочих дней со дня получения плана земельного участка. Проведение независимой оценки осуществляется на основании договора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на земельном участке строений и сооружений, а также незавершенного строительства, находящегося в муниципальной собственности, в стоимость участка включается также стоимость этих объектов.»;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третий пункта 39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проведении торгов или прямых продаж в качестве стартовой стоимости по каждому предмету торгов применяется кадастровая стоимость, установленная уполномоченным государственным органом в сфере определения кадастровой стоимости.»;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60: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«В ходе переговорного процесса комиссия вправе повысить или снизить стартовую стоимость земельного участка в пределах
 20 процентов от кадастровой стоимости.».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</w:t>
      </w:r>
      <w:hyperlink w:history="1" r:id="rIdfjnvzie-vjtpal8lpuz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Государственном агентстве по земельным ресурсам, кадастру, геодезии и картографии при Кабинете Министров Кыргызской Республики» от 12 февраля 2024 года № 53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z9evbdkiub6p6vktvw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земельным ресурсам, кадастру, геодезии и картографии при Кабинете Министров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двадцать первый подпункта 3 пункта 10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осуществление кадастровой оценки недвижимого имущества;».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18 июля 2025 года № 53 (3709)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fjczphbwztl4o78woinp" Type="http://schemas.openxmlformats.org/officeDocument/2006/relationships/hyperlink" Target="http://kodeks.duckdns.org/document/112334#st_16" TargetMode="External"/><Relationship Id="rIdu0lbrekqd2dk7lupblfek" Type="http://schemas.openxmlformats.org/officeDocument/2006/relationships/hyperlink" Target="http://kodeks.duckdns.org/document/112301#st_13" TargetMode="External"/><Relationship Id="rIddzchwm394yb5-kuzozhjt" Type="http://schemas.openxmlformats.org/officeDocument/2006/relationships/hyperlink" Target="http://kodeks.duckdns.org/document/112301#st_17" TargetMode="External"/><Relationship Id="rIdzzeeopx1w4xzr7osmvifb" Type="http://schemas.openxmlformats.org/officeDocument/2006/relationships/hyperlink" Target="http://kodeks.duckdns.org/document/230029454" TargetMode="External"/><Relationship Id="rIdurxuwwxx9plm_pulj2fnp" Type="http://schemas.openxmlformats.org/officeDocument/2006/relationships/hyperlink" Target="http://kodeks.duckdns.org/document/95276" TargetMode="External"/><Relationship Id="rIdls6exrwwxlcdrgri0null" Type="http://schemas.openxmlformats.org/officeDocument/2006/relationships/hyperlink" Target="http://kodeks.duckdns.org/document/230021671" TargetMode="External"/><Relationship Id="rIdpwryg1aei4odoqip3-5xc" Type="http://schemas.openxmlformats.org/officeDocument/2006/relationships/hyperlink" Target="http://kodeks.duckdns.org/document/230021671" TargetMode="External"/><Relationship Id="rIdfjnvzie-vjtpal8lpuz3k" Type="http://schemas.openxmlformats.org/officeDocument/2006/relationships/hyperlink" Target="http://kodeks.duckdns.org/document/230002269" TargetMode="External"/><Relationship Id="rId0z9evbdkiub6p6vktvwb2" Type="http://schemas.openxmlformats.org/officeDocument/2006/relationships/hyperlink" Target="http://kodeks.duckdns.org/document/230002275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2026-09-23T15:16:24.160Z</dcterms:created>
  <dcterms:modified xsi:type="dcterms:W3CDTF">2026-09-23T15:16:24.160Z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