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Стратегии управления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государственным долгом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2025–2027 годы» от 25 января 2025 года № 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долгом Кыргызской Республики, руководствуясь статьями </w:t>
      </w:r>
      <w:hyperlink w:history="1" r:id="rIdmuqp8up9lqofh5-nnnh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ebwnz4jlru7omrqud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jdfa9s9jyhnuy11wqa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Стратегии управления государственным долгом Кыргызской Республики на 2025–2027 годы» от 25 января 2025 года № 38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rcjgpg1tgaqsvl9dvo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2025–2027 годы, утвержденной вышеуказанным </w:t>
      </w:r>
      <w:hyperlink w:history="1" r:id="rIddteza4fan5s6vztlu6d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</w:t>
      </w:r>
      <w:r>
        <w:rPr>
          <w:rFonts w:ascii="Arial" w:cs="Arial" w:eastAsia="Arial" w:hAnsi="Arial"/>
          <w:sz w:val="24"/>
          <w:szCs w:val="24"/>
        </w:rPr>
        <w:t xml:space="preserve">главы 1</w:t>
      </w:r>
      <w:r>
        <w:rPr>
          <w:rFonts w:ascii="Arial" w:cs="Arial" w:eastAsia="Arial" w:hAnsi="Arial"/>
          <w:sz w:val="24"/>
          <w:szCs w:val="24"/>
        </w:rPr>
        <w:t xml:space="preserve"> дополнить предложением следующего содержания: «Для успешной реализации Стратегии будет производиться мониторинг и предоставляться информация об исполнении целевых показателей и поставленных задач на сайте Министерства финансов Кыргызской Республики с полугодичной периодичностью.»;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Целевые количественные показатели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исполнения Стратегии будут производиться в соответствии со значениями количественных целевых показателей, представленных в таблице. Целевые показатели также будут выполнять функцию критериев или ориентиров при подготовке и реализации конкретных операций, связанных с управлением государственным долгом.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Стратегии и содействия ее реализации в следующем обновлении среднесрочной стратегии государственного долга (Medium-Term Debt Management Strategy или MTDS) будет рассмотрена возможность принятия новых индикаторов, связанных с рефинансированием и процентными рисками.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Целевые показатели реализации Стратегии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государственным долгом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2025–2027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87"/>
        <w:gridCol w:w="2891"/>
      </w:tblGrid>
      <w:tr>
        <w:tc>
          <w:tcPr>
            <w:tcW w:type="dxa" w:w="7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Целевой показатель</w:t>
            </w:r>
          </w:p>
        </w:tc>
        <w:tc>
          <w:tcPr>
            <w:tcW w:type="dxa" w:w="2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показателя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к ВВП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обслуживанию государственного долга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доходам республиканского бюджета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 (1)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 льготности внешних займов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значение объединенного грант-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элемента (3)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сумма задолженности перед одним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кредитором (в % от общей суммы государственного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внешнего долга)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Допустимый размер просроченных платежей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обслуживанию государственного долга (сом)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ГЦБ на аукционной основе, кроме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казначейских обязательств (КО)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ГКО в общей структуре ежегодных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эмиссий государственных ценных бумаг (% от общей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эмиссии ГЦБ)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срок погашения внутреннего долга (лет)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государственного долга в иностранной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валюте (% от общей суммы государственного долга)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84 % (4)</w:t>
            </w:r>
          </w:p>
        </w:tc>
      </w:tr>
      <w:tr>
        <w:tc>
          <w:tcPr>
            <w:tcW w:type="dxa" w:w="7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ГЦБ, выпущенных и размещенных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иностранной валюте на международном рынке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капитала (% от общего объема государственного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внешнего долга)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(1) допускаются отклонения в диапазоне + 1 %;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(2)–(3) действие Стратегии в части соблюдения минимального уровня льготности внешних займов не охватывает займы от Международного валютного фонда. Кроме того, требование к значению грант-элемента не распространяется на возможные соглашения о реструктуризации внешнего долга, а также при условиях, обозначенных в главе 4 настоящей Стратегии;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(4) допускаются отклонения в диапазоне + 1,5 %.»;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главой 10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Глава 10</w:t>
      </w:r>
      <w:r>
        <w:rPr>
          <w:rFonts w:ascii="Arial" w:cs="Arial" w:eastAsia="Arial" w:hAnsi="Arial"/>
          <w:sz w:val="24"/>
          <w:szCs w:val="24"/>
        </w:rPr>
        <w:t xml:space="preserve">. Оценка реализации Стратегии управления государственным долгом на 2022–2024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управления государственным долгом Кыргызской Республики на 2022–2024 годы была утверждена постановлением Кабинета Министров Кыргызской Республики «Об утверждении Стратегии управления государственным долгом Кыргызской Республики на 2022–2024 годы» от 1 июля 2022 года № 357. Далее в 2023–2024 годах были внесены изменения в вышеуказанную Стратегию. В ней были описаны цели, масштабы и временные рамки управления государственным долгом, а также установлены целевые показатели, определяющие ход осуществления Стратегии.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вышеназванной Стратегии управления государственным долгом являлось обеспечение потребностей Кабинета Министров Кыргызской Республики в финансировании посредством заимствования с наименьшими затратами и разумным уровнем риска. Дополнительными задачами стали развитие рынка государственных ценных бумаг и поддержание устойчивости государственного долга.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действия вышеуказанной Стратегии охватывала вопросы управления государственным долгом Кыргызской Республики, а также гарантий Кабинета Министров Кыргызской Республики. Следует отметить, что Кабинетом Министров Кыргызской Республики не выдавались гарантии в период действия Стратегии управления государственным долгом с 2022 по 2024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указанной Стратегии были заданы целевые диапазоны по выбранным фискальным показателям. Эти целевые показатели обобщены в таблице 2.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Итоги реализации целевых показателей Стратегии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государственным долгом Кыргызской Республики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2023–2024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3"/>
        <w:gridCol w:w="2014"/>
        <w:gridCol w:w="2192"/>
        <w:gridCol w:w="2228"/>
      </w:tblGrid>
      <w:tr>
        <w:tc>
          <w:tcPr>
            <w:tcW w:type="dxa" w:w="3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показатель</w:t>
            </w:r>
          </w:p>
        </w:tc>
        <w:tc>
          <w:tcPr>
            <w:tcW w:type="dxa" w:w="2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показателя</w:t>
            </w:r>
          </w:p>
        </w:tc>
        <w:tc>
          <w:tcPr>
            <w:tcW w:type="dxa" w:w="2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 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2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 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обслуживанию государственного внешнего долга к доходам республиканского бюджета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уровень льготности внешних займов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соблюдается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соблюдается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Минимальное значение объединенного грант-элемента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соблюдается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соблюдается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сумма задолженности перед одним кредитором (в % от общей суммы государственного внешнего долга)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Допустимый размер просроченных платежей по обслуживанию государственного долга (сом)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ГЦБ на аукционной основе, кроме казначейских обязательств (КО)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ГКО в общей структуре ежегодных эмиссий государственных ценных бумаг (% от общей эмиссии ГЦБ)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99,4 %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98,7 %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срок погашения внутреннего долга (лет)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лет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 лет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 лет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государственного долга в иностранной валюте (% от общей суммы государственного долга)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70 %</w:t>
            </w:r>
          </w:p>
        </w:tc>
      </w:tr>
      <w:tr>
        <w:tc>
          <w:tcPr>
            <w:tcW w:type="dxa" w:w="3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ГЦБ, выпущенных и размещенных в иностранной валюте на международном рынке капитала (% от общего объема государственного внешнего долга)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</w:t>
            </w:r>
          </w:p>
        </w:tc>
        <w:tc>
          <w:tcPr>
            <w:tcW w:type="dxa" w:w="2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  <w:tc>
          <w:tcPr>
            <w:tcW w:type="dxa" w:w="2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0 %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Некоторые из вышеуказанных целей связаны с оперативными аспектами Стратегии. В Стратегии подробно изложены предлагаемые руководящие принципы как для внешних, так и для внутренних заимствований. Данный подход направлен на поддержание макроэкономической стабильности и минимизацию финансовых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касается внешнего долга, то руководящие принципы определили минимальный уровень льготности кредитов и минимальное значение объединенного грант-элемента в размере 35 %, а также максимальную сумму задолженности перед одним кредитором в размере не более 45 % для одного кредитора.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касается внутренних заимствований, то Стратегией установлен целевой показатель среднего срока погашения внутреннего долга в размере не менее 4,5 лет, в то время как фактический показатель за 2023–2024 годы составил 7,9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в 2024 году существенно снизилось отношение государственного долга к ВВП. В 2023 году данный показатель составлял 42,0 %, а в 2024 году он снизился до 37,6 %, что свидетельствует о значительном улучшении долговой устойчивости. Данный уровень остается значительно ниже установленного предельного значения 70 %, что говорит об устойчивости государственного долга, а также снижении финансовых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обслуживание государственного внешнего долга в процентном соотношении к доходам республиканского бюджета также показали позитивную динамику. Если в 2023 году данный показатель составлял 9,6 %, то в 2024 году он снизился до 9 %.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отметить, что объем просроченных платежей по обслуживанию государственного долга остается на нулевом уровне, что свидетельствует о высокой платежной дисциплине и эффективном управлении обязательствами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 важно отметить, что удельный вес государственного долга в иностранной валюте снизился с 75 % до 70 %, что свидетельствует о снижении валютного риска и повышении финансовой устойчивости страны. Дальнейшее развитие государственного рынка ценных бумаг и привлечение инвестиций в национальной валюте является приоритетной задачей в рамках стратегии долгового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анализу Debt Sustainability Analysis (DSA), опубликованному Международным валютным фондом 19 января 2024 года, государственный долг Кыргызской Республики является устойчивым с умеренным риском долгового кризиса. В базовом сценарии общий государственный долг к ВВП в среднесрочной перспективе останется ниже 48 %. Умеренный риск кризиса внешнего долга основан на превышении порогового значения отношения внешнего долга к ВВП в условиях стандартного экспортного шока и более низкой оценки несущей способности долга. Устойчивость гарантируется ограниченным размером бреши, последовательной тенденцией к снижению после этого и некоторым пространством для поглощения ударов. DSA сообщает, что внешний долг составит 80 % от общего долгового портфеля в 2023 году, и предполагает, что к 2028 году он сократится до 60 % с замещением внутреннего финансирования. Дальнейшее развитие рынка облигаций в национальной валюте является ключевым фактором сокращения внешнего долга в среднесрочной перспективе и поддержания соотношения внешнего долга ниже официального лимита в 80,8 %.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Стоит отметить, что, по прогнозным данным Министерства финансов Кыргызской Республики, к 2029 году данное соотношение государственного долга к ВВП снизится до 28 %, что означает повышение устойчивости состояния государственного долга.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отметить, что политика Кабинета Министров Кыргызской Республики направлена на увеличение доли внутреннего долга, а внешние заимствования будут привлекаться только на экономические и инфраструктурные проекты, которые в перспективе приносят экономические выгоды.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итоги 2024 года демонстрируют значительное улучшение ситуации с государственным долгом. Основные достижения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существенное снижение отношения государственного долга к ВВП (с 42,0 % до 37,6 %);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– снижение расходов на обслуживание внешнего долга (с 9,6 % до 9 %);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– сокращение валютных рисков за счет снижения доли долга в иностранной валюте (с 75 % до 70 %);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диверсификацию структуры заимствований и сокращение зависимости от одного кредитора;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просроченных платежей, что подтверждает высокую платежную дисциплину.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достигнутые показатели за 2023–2024 годы свидетельствуют о снижении долговой нагрузки, сокращении валютных рисков и укреплении устойчивости государственной долговой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строго соблюдает установленные целевые коэффициенты, что является важным фактором обеспечения устойчивости государственной долговой политики. Все параметры заимствований и долговой нагрузки контролируются в соответствии с утвержденными стратегическими ориентирами, что позволяет своевременно реагировать на изменения экономической конъюнктуры и минимизировать возможные риски.».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июля 2025 года № 54 (3710)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8hu6lpmnuzfatqx9r4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dalil.kg/document/230029468</w:t>
      </w:r>
    </w:hyperlink>
  </w:p>
  <w:p>
    <w:pPr>
      <w:spacing w:after="0" w:before="40"/>
      <w:jc w:val="center"/>
    </w:pPr>
    <w:hyperlink w:history="1" r:id="rIdffrwuixkdljaf6-1nkq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qp8up9lqofh5-nnnhm6" Type="http://schemas.openxmlformats.org/officeDocument/2006/relationships/hyperlink" Target="https://dalil.kg/document/112301#st_13" TargetMode="External"/><Relationship Id="rIdxoebwnz4jlru7omrqudq9" Type="http://schemas.openxmlformats.org/officeDocument/2006/relationships/hyperlink" Target="https://dalil.kg/document/112301#st_17" TargetMode="External"/><Relationship Id="rIdhjdfa9s9jyhnuy11wqaet" Type="http://schemas.openxmlformats.org/officeDocument/2006/relationships/hyperlink" Target="https://dalil.kg/document/230021610" TargetMode="External"/><Relationship Id="rIdorcjgpg1tgaqsvl9dvo7v" Type="http://schemas.openxmlformats.org/officeDocument/2006/relationships/hyperlink" Target="https://dalil.kg/document/230021657" TargetMode="External"/><Relationship Id="rIddteza4fan5s6vztlu6dej" Type="http://schemas.openxmlformats.org/officeDocument/2006/relationships/hyperlink" Target="https://dalil.kg/document/2300216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8hu6lpmnuzfatqx9r4_g" Type="http://schemas.openxmlformats.org/officeDocument/2006/relationships/hyperlink" Target="https://dalil.kg/document/230029468" TargetMode="External"/><Relationship Id="rIdffrwuixkdljaf6-1nkq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2026-09-25T21:09:11.708Z</dcterms:created>
  <dcterms:modified xsi:type="dcterms:W3CDTF">2026-09-25T21:09:11.708Z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