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yha5i_nee3cnhf7gyb3x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 от 22 июля 2025 года № 437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работы и обращения с ртутьсодержащими медицинскими изделиями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работы и обращения с ртутьсодержащими медицинскими изделиями (далее – Порядок) определяет порядок работы с ртутьсодержащими медицинскими изделиями, ее соединениями и приборами с ртутным заполнением и применяется в работе следующих организаций здравоохранения, независимо от формы собственности (далее – организации здравоохранения):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лечебно-профилактические;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организации общественного здравоохранения;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научно-исследовательские;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образовательные организации здравоохранения;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медико-социальные;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реабилитационные;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120"/>
        <w:ind w:firstLine="709"/>
        <w:jc w:val="both"/>
      </w:pPr>
      <w:r>
        <w:rPr>
          <w:rFonts w:ascii="Arial" w:cs="Arial" w:eastAsia="Arial" w:hAnsi="Arial"/>
          <w:sz w:val="24"/>
          <w:szCs w:val="24"/>
        </w:rPr>
        <w:t xml:space="preserve">2. К ртутьсодержащим медицинским изделиям (далее – ртутьсодержащие изделия) относятся следующие изделия и устройства, содержащие металлическую ртуть или ее соединения: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измерительные приборы;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терморегуляторы;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барометры и манометры ртутные;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лабораторные, технические и медицинские ртутные термометры;</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тонометры;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расходомеры;</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уровнемеры;</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игнитроны – специальные приборы, применяемые в мощных выпрямительных устройствах;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ртутьсодержащие гальванические элементы;</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люминесцентные лампы с ртутным заполнением высокого и низкого давления;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стоматологическая амальгама.</w:t>
      </w:r>
    </w:p>
    <w:p>
      <w:pPr>
        <w:spacing w:after="120"/>
        <w:ind w:firstLine="709"/>
        <w:jc w:val="both"/>
      </w:pPr>
      <w:r>
        <w:rPr>
          <w:rFonts w:ascii="Arial" w:cs="Arial" w:eastAsia="Arial" w:hAnsi="Arial"/>
          <w:sz w:val="24"/>
          <w:szCs w:val="24"/>
        </w:rPr>
        <w:t xml:space="preserve">3. В настоящем Порядке используются следующие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демеркуризация</w:t>
      </w:r>
      <w:r>
        <w:rPr>
          <w:rFonts w:ascii="Arial" w:cs="Arial" w:eastAsia="Arial" w:hAnsi="Arial"/>
          <w:sz w:val="24"/>
          <w:szCs w:val="24"/>
        </w:rPr>
        <w:t xml:space="preserve"> – удаление ртути и ее соединений физико-химическими или механическими способами с целью исключения отравления людей и животных;</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 вводный инструктаж</w:t>
      </w:r>
      <w:r>
        <w:rPr>
          <w:rFonts w:ascii="Arial" w:cs="Arial" w:eastAsia="Arial" w:hAnsi="Arial"/>
          <w:sz w:val="24"/>
          <w:szCs w:val="24"/>
        </w:rPr>
        <w:t xml:space="preserve"> – инструктаж по безопасности работы с ртутьсодержащими изделиями, проводимый со всеми сотрудниками, принимаемыми на работу в организации здравоохранения, работниками, прибывшими в организацию здравоохранения в командировку, учащимися учебных заведений, направленными в организацию на производственную практику;</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 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 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 утилизация</w:t>
      </w:r>
      <w:r>
        <w:rPr>
          <w:rFonts w:ascii="Arial" w:cs="Arial" w:eastAsia="Arial" w:hAnsi="Arial"/>
          <w:sz w:val="24"/>
          <w:szCs w:val="24"/>
        </w:rPr>
        <w:t xml:space="preserve"> – вовлечение ртутных отходов в новые технологические циклы, использование в полезных целях, использование в качестве вторичного сырья и для других целей.</w:t>
      </w:r>
    </w:p>
    <w:p>
      <w:pPr>
        <w:spacing w:after="120"/>
        <w:ind w:firstLine="709"/>
        <w:jc w:val="both"/>
      </w:pPr>
      <w:r>
        <w:rPr>
          <w:rFonts w:ascii="Arial" w:cs="Arial" w:eastAsia="Arial" w:hAnsi="Arial"/>
          <w:sz w:val="24"/>
          <w:szCs w:val="24"/>
        </w:rPr>
        <w:t xml:space="preserve">4. К работе с ртутьсодержащими изделиями допускаются лица не моложе 18 лет, прошедшие медицинское освидетельствование, вводный инструктаж, обучение и стажировку на рабочем месте, проверку знаний требований охраны труда.</w:t>
      </w:r>
    </w:p>
    <w:p>
      <w:pPr>
        <w:spacing w:after="120"/>
        <w:ind w:firstLine="709"/>
        <w:jc w:val="both"/>
      </w:pPr>
      <w:r>
        <w:rPr>
          <w:rFonts w:ascii="Arial" w:cs="Arial" w:eastAsia="Arial" w:hAnsi="Arial"/>
          <w:sz w:val="24"/>
          <w:szCs w:val="24"/>
        </w:rPr>
        <w:t xml:space="preserve">5. Организации здравоохранения, независимо от формы собственности, обязаны проводить семинары по обучению персонала мероприятиям по профилактике ртутных интоксикаций не реже двух раз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2. Правила работы и хранения ртутьсодержащих изделий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При работе с ртутьсодержащими изделиями персонал организаций здравоохранения обязан: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соблюдать порядок работы при обращении с ртутьсодержащими изделиями в соответствии с настоящим Порядком;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выполнять правила внутреннего трудового распорядка;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соблюдать требования охраны труда;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проходить обучение безопасным методам и приемам выполнения работ, оказанию первой помощи пострадавшим на производстве, инструктаж по охране труда, проверку знаний требований охраны труда;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проходить обязательные периодические (в течение трудовой деятельности) медицинские осмотры (обследования), а также внеочередные медицинские осмотры (обследования) по направлению работодателя в случаях, предусмотренных трудовым законодательством и законодательством Кыргызской Республики в сфере общественного здравоохранения;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уметь оказывать первую помощь пострадавшим от электрического тока и при других несчастных случаях;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уметь применять первичные средства пожаротушения.</w:t>
      </w:r>
    </w:p>
    <w:p>
      <w:pPr>
        <w:spacing w:after="120"/>
        <w:ind w:firstLine="709"/>
        <w:jc w:val="both"/>
      </w:pPr>
      <w:r>
        <w:rPr>
          <w:rFonts w:ascii="Arial" w:cs="Arial" w:eastAsia="Arial" w:hAnsi="Arial"/>
          <w:sz w:val="24"/>
          <w:szCs w:val="24"/>
        </w:rPr>
        <w:t xml:space="preserve">7. При работе с ртутьсодержащими изделиями на персонал организаций здравоохранения возможно воздействие следующих опасных и вредных производственных факторов: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появление в зоне работы ядовитых сред;</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вредные вещества (ртуть);</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недостаточная освещенность рабочих мест.</w:t>
      </w:r>
    </w:p>
    <w:p>
      <w:pPr>
        <w:spacing w:after="120"/>
        <w:ind w:firstLine="709"/>
        <w:jc w:val="both"/>
      </w:pPr>
      <w:r>
        <w:rPr>
          <w:rFonts w:ascii="Arial" w:cs="Arial" w:eastAsia="Arial" w:hAnsi="Arial"/>
          <w:sz w:val="24"/>
          <w:szCs w:val="24"/>
        </w:rPr>
        <w:t xml:space="preserve">8. При работе с ртутьсодержащими изделиями персонал организаций здравоохранения должен быть обеспечен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120"/>
        <w:ind w:firstLine="709"/>
        <w:jc w:val="both"/>
      </w:pPr>
      <w:r>
        <w:rPr>
          <w:rFonts w:ascii="Arial" w:cs="Arial" w:eastAsia="Arial" w:hAnsi="Arial"/>
          <w:sz w:val="24"/>
          <w:szCs w:val="24"/>
        </w:rPr>
        <w:t xml:space="preserve">9. В случае возникновения аварий или ситуаций, которые могут привести к авариям и несчастным случаям, необходимо:</w:t>
      </w:r>
    </w:p>
    <w:p>
      <w:pPr>
        <w:spacing w:after="120"/>
        <w:ind w:firstLine="709"/>
        <w:jc w:val="both"/>
      </w:pPr>
      <w:r>
        <w:rPr>
          <w:rFonts w:ascii="Arial" w:cs="Arial" w:eastAsia="Arial" w:hAnsi="Arial"/>
          <w:sz w:val="24"/>
          <w:szCs w:val="24"/>
        </w:rPr>
        <w:t xml:space="preserve">– немедленно прекратить работы;</w:t>
      </w:r>
    </w:p>
    <w:p>
      <w:pPr>
        <w:spacing w:after="120"/>
        <w:ind w:firstLine="709"/>
        <w:jc w:val="both"/>
      </w:pPr>
      <w:r>
        <w:rPr>
          <w:rFonts w:ascii="Arial" w:cs="Arial" w:eastAsia="Arial" w:hAnsi="Arial"/>
          <w:sz w:val="24"/>
          <w:szCs w:val="24"/>
        </w:rPr>
        <w:t xml:space="preserve">– принять меры по устранению причин аварий или ситуаций, которые могут привести к авариям или несчастным случаям.</w:t>
      </w:r>
    </w:p>
    <w:p>
      <w:pPr>
        <w:spacing w:after="120"/>
        <w:ind w:firstLine="709"/>
        <w:jc w:val="both"/>
      </w:pPr>
      <w:r>
        <w:rPr>
          <w:rFonts w:ascii="Arial" w:cs="Arial" w:eastAsia="Arial" w:hAnsi="Arial"/>
          <w:sz w:val="24"/>
          <w:szCs w:val="24"/>
        </w:rPr>
        <w:t xml:space="preserve">Хранение ртути для изготовления стоматологической амальгамы допускается только под водой, в стеклянной банке с притертой пробкой.</w:t>
      </w:r>
    </w:p>
    <w:p>
      <w:pPr>
        <w:spacing w:after="120"/>
        <w:ind w:firstLine="709"/>
        <w:jc w:val="both"/>
      </w:pPr>
      <w:r>
        <w:rPr>
          <w:rFonts w:ascii="Arial" w:cs="Arial" w:eastAsia="Arial" w:hAnsi="Arial"/>
          <w:sz w:val="24"/>
          <w:szCs w:val="24"/>
        </w:rPr>
        <w:t xml:space="preserve">Запрещаются работы по изготовлению стоматологической амальгамы без вытяжных шкафов и специальных поддонов.</w:t>
      </w:r>
    </w:p>
    <w:p>
      <w:pPr>
        <w:spacing w:after="120"/>
        <w:ind w:firstLine="709"/>
        <w:jc w:val="both"/>
      </w:pPr>
      <w:r>
        <w:rPr>
          <w:rFonts w:ascii="Arial" w:cs="Arial" w:eastAsia="Arial" w:hAnsi="Arial"/>
          <w:sz w:val="24"/>
          <w:szCs w:val="24"/>
        </w:rPr>
        <w:t xml:space="preserve">Стоматологическое оборудование должно быть оснащено специальными фильтрами для сбора остатков стоматологической амальгамы, прошедших через слюноотсасывающую систему. Фильтры для сбора амальгамы чистятся, а отходы, содержащие ртуть, помещаются и хранятся в специальных контейнерах.</w:t>
      </w:r>
    </w:p>
    <w:p>
      <w:pPr>
        <w:spacing w:after="120"/>
        <w:ind w:firstLine="709"/>
        <w:jc w:val="both"/>
      </w:pPr>
      <w:r>
        <w:rPr>
          <w:rFonts w:ascii="Arial" w:cs="Arial" w:eastAsia="Arial" w:hAnsi="Arial"/>
          <w:sz w:val="24"/>
          <w:szCs w:val="24"/>
        </w:rPr>
        <w:t xml:space="preserve">Запрещается ручной способ изготовления стоматологической амальгамы.</w:t>
      </w:r>
    </w:p>
    <w:p>
      <w:pPr>
        <w:spacing w:after="120"/>
        <w:ind w:firstLine="709"/>
        <w:jc w:val="both"/>
      </w:pPr>
      <w:r>
        <w:rPr>
          <w:rFonts w:ascii="Arial" w:cs="Arial" w:eastAsia="Arial" w:hAnsi="Arial"/>
          <w:sz w:val="24"/>
          <w:szCs w:val="24"/>
        </w:rPr>
        <w:t xml:space="preserve">10. В помещениях для хранения и работы с ртутьсодержащими изделиями запрещаются прием пищи, воды, курение и любые действия, которые могут вызвать испарение, накопление ртути на поверхностях или проникновение внутрь организма человека.</w:t>
      </w:r>
    </w:p>
    <w:p>
      <w:pPr>
        <w:spacing w:after="120"/>
        <w:ind w:firstLine="709"/>
        <w:jc w:val="both"/>
      </w:pPr>
      <w:r>
        <w:rPr>
          <w:rFonts w:ascii="Arial" w:cs="Arial" w:eastAsia="Arial" w:hAnsi="Arial"/>
          <w:sz w:val="24"/>
          <w:szCs w:val="24"/>
        </w:rPr>
        <w:t xml:space="preserve">11. Сбор и хранение ртутьсодержащих изделий допускаются только в закрытых и запирающихся помещениях, оборудованных приточно-вытяжной либо вытяжной вентиляцией. В случае отсутствия такой возможности в указанных помещениях должна быть обеспечена возможность естественного проветривания.</w:t>
      </w:r>
    </w:p>
    <w:p>
      <w:pPr>
        <w:spacing w:after="120"/>
        <w:ind w:firstLine="709"/>
        <w:jc w:val="both"/>
      </w:pPr>
      <w:r>
        <w:rPr>
          <w:rFonts w:ascii="Arial" w:cs="Arial" w:eastAsia="Arial" w:hAnsi="Arial"/>
          <w:sz w:val="24"/>
          <w:szCs w:val="24"/>
        </w:rPr>
        <w:t xml:space="preserve">12. Конструкция и отделка помещений организаций здравоохранения, а также мебель должны исключать сорбцию ртути поверхностями и обеспечить возможность проведения демеркуризации.</w:t>
      </w:r>
    </w:p>
    <w:p>
      <w:pPr>
        <w:spacing w:after="120"/>
        <w:ind w:firstLine="709"/>
        <w:jc w:val="both"/>
      </w:pPr>
      <w:r>
        <w:rPr>
          <w:rFonts w:ascii="Arial" w:cs="Arial" w:eastAsia="Arial" w:hAnsi="Arial"/>
          <w:sz w:val="24"/>
          <w:szCs w:val="24"/>
        </w:rPr>
        <w:t xml:space="preserve">13. Для хранения ртутьсодержащих изделий разрешается использовать только специальные металлические контейнеры стандартной конструкции, снабженные металлической крышкой либо мягким чехлом из плотного материала. Не допускается использовать контейнеры, у которых нарушена целостность металлического корпуса, металлической крышки (мягкого чехла). Не допускается также использовать контейнеры, конструкция которых не соответствует стандартному образцу.</w:t>
      </w:r>
    </w:p>
    <w:p>
      <w:pPr>
        <w:spacing w:after="120"/>
        <w:ind w:firstLine="709"/>
        <w:jc w:val="both"/>
      </w:pPr>
      <w:r>
        <w:rPr>
          <w:rFonts w:ascii="Arial" w:cs="Arial" w:eastAsia="Arial" w:hAnsi="Arial"/>
          <w:sz w:val="24"/>
          <w:szCs w:val="24"/>
        </w:rPr>
        <w:t xml:space="preserve">14. Порядок действий при сборе боя ртутьсодержащих изделий: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немедленно эвакуировать персонал и других лиц из помещения;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уменьшить распространение паров во внутренних помещениях, закрыть все внутренние двери, которые ведут в другие внутренние помещения;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обеспечить усиленное проветривание указанного помещения через оконные проемы, при наличии механической вентиляции включить ее;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закрыть и опечатать помещение;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в случае если бой ртутьсодержащих изделий имел место на открытой площадке в процессе переноски ламп, необходимо выставить ограждение вокруг зараженного участка и оповестить персонал и других лиц о недопустимости нахождения на указанном участке;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оповестить территориальное управление уполномоченного государственного органа в сфере чрезвычайных ситуаций с целью обеспечения его специалистами демеркуризации помещения либо открытой площадки, где имела место аварийная ситуация;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в случае аварийной ситуации (при разрушении корпусов единичных ламп) допускается ликвидация аварии собственными силами путем обработки зараженного участка 1 % раствором марганцевокислого калия.</w:t>
      </w:r>
    </w:p>
    <w:p>
      <w:pPr>
        <w:spacing w:after="120"/>
        <w:ind w:firstLine="709"/>
        <w:jc w:val="both"/>
      </w:pPr>
      <w:r>
        <w:rPr>
          <w:rFonts w:ascii="Arial" w:cs="Arial" w:eastAsia="Arial" w:hAnsi="Arial"/>
          <w:sz w:val="24"/>
          <w:szCs w:val="24"/>
        </w:rPr>
        <w:t xml:space="preserve">15. Не допускаются совместное хранение и сбор разбитых и целых ртутьсодержащих изделий в одни и те же контейнеры. Для сбора боя ртутьсодержащих изделий должны применяться отдельные закрывающиеся контейнеры.</w:t>
      </w:r>
    </w:p>
    <w:p>
      <w:pPr>
        <w:spacing w:after="120"/>
        <w:ind w:firstLine="709"/>
        <w:jc w:val="both"/>
      </w:pPr>
      <w:r>
        <w:rPr>
          <w:rFonts w:ascii="Arial" w:cs="Arial" w:eastAsia="Arial" w:hAnsi="Arial"/>
          <w:sz w:val="24"/>
          <w:szCs w:val="24"/>
        </w:rPr>
        <w:t xml:space="preserve">16. Бой стекла и металлические детали, образовавшиеся после разрушения корпусов ламп, передаются в утилизацию совместно с использованными ртутьсодержащими изделиями.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Демеркуризация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Лица, осуществляющие текущую демеркуризацию, должны пройти специальное обучение, а также расписаться в журнале по технике безопасности.</w:t>
      </w:r>
    </w:p>
    <w:p>
      <w:pPr>
        <w:spacing w:after="120"/>
        <w:ind w:firstLine="709"/>
        <w:jc w:val="both"/>
      </w:pPr>
      <w:r>
        <w:rPr>
          <w:rFonts w:ascii="Arial" w:cs="Arial" w:eastAsia="Arial" w:hAnsi="Arial"/>
          <w:sz w:val="24"/>
          <w:szCs w:val="24"/>
        </w:rPr>
        <w:t xml:space="preserve">18. Лица, осуществляющие текущую демеркуризацию, должны быть обеспечены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120"/>
        <w:ind w:firstLine="709"/>
        <w:jc w:val="both"/>
      </w:pPr>
      <w:r>
        <w:rPr>
          <w:rFonts w:ascii="Arial" w:cs="Arial" w:eastAsia="Arial" w:hAnsi="Arial"/>
          <w:sz w:val="24"/>
          <w:szCs w:val="24"/>
        </w:rPr>
        <w:t xml:space="preserve">19. Лица, осуществляющие текущую демеркуризацию, после ее окончания, должны соблюдать правила личной гигиены: принять душ, прополоскать полость рта 0,025 %-ным раствором перманганата калия, почистить зубы.</w:t>
      </w:r>
    </w:p>
    <w:p>
      <w:pPr>
        <w:spacing w:after="120"/>
        <w:ind w:firstLine="709"/>
        <w:jc w:val="both"/>
      </w:pPr>
      <w:r>
        <w:rPr>
          <w:rFonts w:ascii="Arial" w:cs="Arial" w:eastAsia="Arial" w:hAnsi="Arial"/>
          <w:sz w:val="24"/>
          <w:szCs w:val="24"/>
        </w:rPr>
        <w:t xml:space="preserve">20. Комплекс по текущей демеркуризации помещений включает следующие обязательные этапы:</w:t>
      </w:r>
    </w:p>
    <w:p>
      <w:pPr>
        <w:spacing w:after="120"/>
        <w:ind w:firstLine="709"/>
        <w:jc w:val="both"/>
      </w:pPr>
      <w:r>
        <w:rPr>
          <w:rFonts w:ascii="Arial" w:cs="Arial" w:eastAsia="Arial" w:hAnsi="Arial"/>
          <w:sz w:val="24"/>
          <w:szCs w:val="24"/>
        </w:rPr>
        <w:t xml:space="preserve">1) выявление источника и степени загрязнения помещений ртутью;</w:t>
      </w:r>
    </w:p>
    <w:p>
      <w:pPr>
        <w:spacing w:after="120"/>
        <w:ind w:firstLine="709"/>
        <w:jc w:val="both"/>
      </w:pPr>
      <w:r>
        <w:rPr>
          <w:rFonts w:ascii="Arial" w:cs="Arial" w:eastAsia="Arial" w:hAnsi="Arial"/>
          <w:sz w:val="24"/>
          <w:szCs w:val="24"/>
        </w:rPr>
        <w:t xml:space="preserve">2) удаление фазовой (жидкой) ртути и подготовка поверхностей для выполнения химической обработки.</w:t>
      </w:r>
    </w:p>
    <w:p>
      <w:pPr>
        <w:spacing w:after="120"/>
        <w:ind w:firstLine="709"/>
        <w:jc w:val="both"/>
      </w:pPr>
      <w:r>
        <w:rPr>
          <w:rFonts w:ascii="Arial" w:cs="Arial" w:eastAsia="Arial" w:hAnsi="Arial"/>
          <w:sz w:val="24"/>
          <w:szCs w:val="24"/>
        </w:rPr>
        <w:t xml:space="preserve">21. Механическая уборка (очистка) осуществляется в случае нарушения герметичности (разрушения) приборов со сливом незначительного количества ртути из ртутьсодержащих устройств.</w:t>
      </w:r>
    </w:p>
    <w:p>
      <w:pPr>
        <w:spacing w:after="120"/>
        <w:ind w:firstLine="709"/>
        <w:jc w:val="both"/>
      </w:pPr>
      <w:r>
        <w:rPr>
          <w:rFonts w:ascii="Arial" w:cs="Arial" w:eastAsia="Arial" w:hAnsi="Arial"/>
          <w:sz w:val="24"/>
          <w:szCs w:val="24"/>
        </w:rPr>
        <w:t xml:space="preserve">22. Разлитая ртуть должна быть собрана механическими способами (смыв водой, засасывание с помощью вакуума, сбор амальгамированной медной пластинкой) с обязательной последующей химической обработкой места, на котором она была разлита.</w:t>
      </w:r>
    </w:p>
    <w:p>
      <w:pPr>
        <w:spacing w:after="120"/>
        <w:ind w:firstLine="709"/>
        <w:jc w:val="both"/>
      </w:pPr>
      <w:r>
        <w:rPr>
          <w:rFonts w:ascii="Arial" w:cs="Arial" w:eastAsia="Arial" w:hAnsi="Arial"/>
          <w:sz w:val="24"/>
          <w:szCs w:val="24"/>
        </w:rPr>
        <w:t xml:space="preserve">23. Собранные капли ртути помещают в банку с водой, закрывающуюся плотной крышкой.</w:t>
      </w:r>
    </w:p>
    <w:p>
      <w:pPr>
        <w:spacing w:after="120"/>
        <w:ind w:firstLine="709"/>
        <w:jc w:val="both"/>
      </w:pPr>
      <w:r>
        <w:rPr>
          <w:rFonts w:ascii="Arial" w:cs="Arial" w:eastAsia="Arial" w:hAnsi="Arial"/>
          <w:sz w:val="24"/>
          <w:szCs w:val="24"/>
        </w:rPr>
        <w:t xml:space="preserve">24. Химическая обработка загрязненных мест выполняется для устранения загрязнений, не подлежащих механической уборке (очистке). Для химической очистки применять раствор перманганата калия (марганцовки) и соляной кислоты (на 1 литр воды – 2 грамма перманганата калия и 5 граммов соляной кислоты) или 20 % раствор хлорного железа (200 грамм хлорида железа на 800 грамм воды).</w:t>
      </w:r>
    </w:p>
    <w:p>
      <w:pPr>
        <w:spacing w:after="120"/>
        <w:ind w:firstLine="709"/>
        <w:jc w:val="both"/>
      </w:pPr>
      <w:r>
        <w:rPr>
          <w:rFonts w:ascii="Arial" w:cs="Arial" w:eastAsia="Arial" w:hAnsi="Arial"/>
          <w:sz w:val="24"/>
          <w:szCs w:val="24"/>
        </w:rPr>
        <w:t xml:space="preserve">25. Проведение химической демеркуризации в случае обработки загрязненных ртутью поверхностей производится с помощью препаратов, переводящих ртуть в малоактивное или неактивное состояние, облегчающее ее дальнейшее удаление.</w:t>
      </w:r>
    </w:p>
    <w:p>
      <w:pPr>
        <w:spacing w:after="120"/>
        <w:ind w:firstLine="709"/>
        <w:jc w:val="both"/>
      </w:pPr>
      <w:r>
        <w:rPr>
          <w:rFonts w:ascii="Arial" w:cs="Arial" w:eastAsia="Arial" w:hAnsi="Arial"/>
          <w:sz w:val="24"/>
          <w:szCs w:val="24"/>
        </w:rPr>
        <w:t xml:space="preserve">26. Загрязненные ртутью помещения необходимо убрать после проведения демеркуризации.</w:t>
      </w:r>
    </w:p>
    <w:p>
      <w:pPr>
        <w:spacing w:after="120"/>
        <w:ind w:firstLine="709"/>
        <w:jc w:val="both"/>
      </w:pPr>
      <w:r>
        <w:rPr>
          <w:rFonts w:ascii="Arial" w:cs="Arial" w:eastAsia="Arial" w:hAnsi="Arial"/>
          <w:sz w:val="24"/>
          <w:szCs w:val="24"/>
        </w:rPr>
        <w:t xml:space="preserve">27. Запрещается убирать другие помещения средствами, которые были использованы при уборке загрязненных помещений. После окончания уборки и обработки инвентаря растворами демеркуризатора инвентарь помещают в плотно закрывающийся металлический ящик с соответствующей маркировкой.</w:t>
      </w:r>
    </w:p>
    <w:p>
      <w:pPr>
        <w:spacing w:after="120"/>
        <w:ind w:firstLine="709"/>
        <w:jc w:val="both"/>
      </w:pPr>
      <w:r>
        <w:rPr>
          <w:rFonts w:ascii="Arial" w:cs="Arial" w:eastAsia="Arial" w:hAnsi="Arial"/>
          <w:sz w:val="24"/>
          <w:szCs w:val="24"/>
        </w:rPr>
        <w:t xml:space="preserve">28. Демеркуризация может быть признана эффективной, если после ее завершения содержание паров ртути в помещении не превышает предельно допустимой концентрации 0,0003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29. Демеркуризации подлежат стеклянная и фарфоровая посуда, стеклянные приборы, используемые при работе с ртутью, анализе ртути и ее химических соединений.</w:t>
      </w:r>
    </w:p>
    <w:p>
      <w:pPr>
        <w:spacing w:after="120"/>
        <w:ind w:firstLine="709"/>
        <w:jc w:val="both"/>
      </w:pPr>
      <w:r>
        <w:rPr>
          <w:rFonts w:ascii="Arial" w:cs="Arial" w:eastAsia="Arial" w:hAnsi="Arial"/>
          <w:sz w:val="24"/>
          <w:szCs w:val="24"/>
        </w:rPr>
        <w:t xml:space="preserve">30. Колонки для очистки ртути, ампулы, отдельные детали ртутных установок, другие приборы, загрязненные ртутью, вначале промывают водой или разбавленной азотной кислотой для удаления приставших к стенкам капелек ртути.</w:t>
      </w:r>
    </w:p>
    <w:p>
      <w:pPr>
        <w:spacing w:after="120"/>
        <w:ind w:firstLine="709"/>
        <w:jc w:val="both"/>
      </w:pPr>
      <w:r>
        <w:rPr>
          <w:rFonts w:ascii="Arial" w:cs="Arial" w:eastAsia="Arial" w:hAnsi="Arial"/>
          <w:sz w:val="24"/>
          <w:szCs w:val="24"/>
        </w:rPr>
        <w:t xml:space="preserve">При этом, ртуть собирается на дне прибора и ее вместе с жидкостью выливают в химический стакан, а в прибор наливают небольшое количество концентрированной азотной кислоты, слегка его подогревают и горячей кислотой промывают весь прибор.</w:t>
      </w:r>
    </w:p>
    <w:p>
      <w:pPr>
        <w:spacing w:after="120"/>
        <w:ind w:firstLine="709"/>
        <w:jc w:val="both"/>
      </w:pPr>
      <w:r>
        <w:rPr>
          <w:rFonts w:ascii="Arial" w:cs="Arial" w:eastAsia="Arial" w:hAnsi="Arial"/>
          <w:sz w:val="24"/>
          <w:szCs w:val="24"/>
        </w:rPr>
        <w:t xml:space="preserve">После этого прибор тщательно ополаскивают дистиллированной водой, промывают 2–3 %-ным раствором йода, или в 30 %-ном растворе йодида калия, небольшим количеством эфира для растворения йодной ртути, затем спиртом и снова ополаскивают водой.</w:t>
      </w:r>
    </w:p>
    <w:p>
      <w:pPr>
        <w:spacing w:after="120"/>
        <w:ind w:firstLine="709"/>
        <w:jc w:val="both"/>
      </w:pPr>
      <w:r>
        <w:rPr>
          <w:rFonts w:ascii="Arial" w:cs="Arial" w:eastAsia="Arial" w:hAnsi="Arial"/>
          <w:sz w:val="24"/>
          <w:szCs w:val="24"/>
        </w:rPr>
        <w:t xml:space="preserve">Если стеклянный прибор сильно загрязнен ртутью снаружи, его сначала протирают влажной бумагой, как было описано выше, промывают содовым раствором над большой фарфоровой чашкой, при этом на дне чашки обнаруживаются капельки ртути, находившиеся перед этим на наружных стенках прибора. Воду из чашки сливают, ртуть переносят в химический стакан и в последующем очищают или перерабатывают для получения солей.</w:t>
      </w:r>
    </w:p>
    <w:p>
      <w:pPr>
        <w:spacing w:after="120"/>
        <w:ind w:firstLine="709"/>
        <w:jc w:val="both"/>
      </w:pPr>
      <w:r>
        <w:rPr>
          <w:rFonts w:ascii="Arial" w:cs="Arial" w:eastAsia="Arial" w:hAnsi="Arial"/>
          <w:sz w:val="24"/>
          <w:szCs w:val="24"/>
        </w:rPr>
        <w:t xml:space="preserve">31. Запрещается промывать приборы над раковиной без фарфоровой чашки или иной посуды.</w:t>
      </w:r>
    </w:p>
    <w:p>
      <w:pPr>
        <w:spacing w:after="120"/>
        <w:ind w:firstLine="709"/>
        <w:jc w:val="both"/>
      </w:pPr>
      <w:r>
        <w:rPr>
          <w:rFonts w:ascii="Arial" w:cs="Arial" w:eastAsia="Arial" w:hAnsi="Arial"/>
          <w:sz w:val="24"/>
          <w:szCs w:val="24"/>
        </w:rPr>
        <w:t xml:space="preserve">32. При наличии совместно ртути и силиконовой смазки очищаемые стеклянные детали оставляют в 50 %-ном растворе метанола, содержащем едкий натр (20 грамм на литр), на 24 часа, промывают, обрабатывают перманганатом калия, снова промывают в проточной воде и споласкивают дистиллированной водой. Все операции следует производить только в вытяжном шкафу.</w:t>
      </w:r>
    </w:p>
    <w:p>
      <w:pPr>
        <w:spacing w:after="120"/>
        <w:ind w:firstLine="709"/>
        <w:jc w:val="both"/>
      </w:pPr>
      <w:r>
        <w:rPr>
          <w:rFonts w:ascii="Arial" w:cs="Arial" w:eastAsia="Arial" w:hAnsi="Arial"/>
          <w:sz w:val="24"/>
          <w:szCs w:val="24"/>
        </w:rPr>
        <w:t xml:space="preserve">33. Для демеркуризации поверхности приборов из нержавеющей стали, а также из легко амальгамируемых металлов (медь, латунь и бронза) рекомендуется использовать порошок серы. При протирке загрязненных поверхностей серой выделяется тепло, достаточное для образования сульфида ртути, легко стираемого бумагой.</w:t>
      </w:r>
    </w:p>
    <w:p>
      <w:pPr>
        <w:spacing w:after="120"/>
        <w:ind w:firstLine="709"/>
        <w:jc w:val="both"/>
      </w:pPr>
      <w:r>
        <w:rPr>
          <w:rFonts w:ascii="Arial" w:cs="Arial" w:eastAsia="Arial" w:hAnsi="Arial"/>
          <w:sz w:val="24"/>
          <w:szCs w:val="24"/>
        </w:rPr>
        <w:t xml:space="preserve">34. Металлические поверхности, загрязненные ртутью, нельзя демеркуризировать растворами кислот, так как получаемые при этом соли будут цементироваться металлической поверхностью, и ртуть снова выпадет в виде мелкодисперсных капелек.</w:t>
      </w:r>
    </w:p>
    <w:p>
      <w:pPr>
        <w:spacing w:after="120"/>
        <w:ind w:firstLine="709"/>
        <w:jc w:val="both"/>
      </w:pPr>
      <w:r>
        <w:rPr>
          <w:rFonts w:ascii="Arial" w:cs="Arial" w:eastAsia="Arial" w:hAnsi="Arial"/>
          <w:sz w:val="24"/>
          <w:szCs w:val="24"/>
        </w:rPr>
        <w:t xml:space="preserve">35. Демеркуризацией предохранительных противней, воздушных термостатов, сушильных шкафов и другого подобного оборудования является термический способ – их продолжительное нагревание при возможно высоких температурах под вытяжным шкафом.</w:t>
      </w:r>
    </w:p>
    <w:p>
      <w:pPr>
        <w:spacing w:after="120"/>
        <w:ind w:firstLine="709"/>
        <w:jc w:val="both"/>
      </w:pPr>
      <w:r>
        <w:rPr>
          <w:rFonts w:ascii="Arial" w:cs="Arial" w:eastAsia="Arial" w:hAnsi="Arial"/>
          <w:sz w:val="24"/>
          <w:szCs w:val="24"/>
        </w:rPr>
        <w:t xml:space="preserve">36. Демеркуризация специальной одежды применяется в случае необходимости удаления ртути в больших количествах либо после работы с большим количеством ртути и ртутьсодержащими отходами.</w:t>
      </w:r>
    </w:p>
    <w:p>
      <w:pPr>
        <w:spacing w:after="120"/>
        <w:ind w:firstLine="709"/>
        <w:jc w:val="both"/>
      </w:pPr>
      <w:r>
        <w:rPr>
          <w:rFonts w:ascii="Arial" w:cs="Arial" w:eastAsia="Arial" w:hAnsi="Arial"/>
          <w:sz w:val="24"/>
          <w:szCs w:val="24"/>
        </w:rPr>
        <w:t xml:space="preserve">37. Специальную одежду нужно менять и стирать не реже одного раза в неделю. В домашних условиях специальную одежду стирать запрещается.</w:t>
      </w:r>
    </w:p>
    <w:p>
      <w:pPr>
        <w:spacing w:after="120"/>
        <w:ind w:firstLine="709"/>
        <w:jc w:val="both"/>
      </w:pPr>
      <w:r>
        <w:rPr>
          <w:rFonts w:ascii="Arial" w:cs="Arial" w:eastAsia="Arial" w:hAnsi="Arial"/>
          <w:sz w:val="24"/>
          <w:szCs w:val="24"/>
        </w:rPr>
        <w:t xml:space="preserve">38. В соответствии с правилами стирки специальной одежды при работе с ртутью: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загрязненную специальную одежду освобождают от пыли и в течение 30 минут промывают холодной водой, при этом на дне емкости обнаруживаются капельки ртути;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воду из емкости сливают, ртуть переносят в химический стакан и в последующем очищают или перерабатывают для получения солей;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стирают специальную одежду в мыльно-содовом растворе из расчета 4 литра на 1 килограмм одежды в течение 30 минут при 70–80 ºС;</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выстиранную специальную одежду промывают в барабане сначала горячей, потом холодной водой для удаления щелочи;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затем в течение 30 минут специальную одежду обрабатывают 1–2 %-ным раствором соляной кислоты;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после ополаскивания чистой водой специальную одежду сушат и гладят.</w:t>
      </w:r>
    </w:p>
    <w:p>
      <w:pPr>
        <w:spacing w:after="120"/>
        <w:ind w:firstLine="709"/>
        <w:jc w:val="both"/>
      </w:pPr>
      <w:r>
        <w:rPr>
          <w:rFonts w:ascii="Arial" w:cs="Arial" w:eastAsia="Arial" w:hAnsi="Arial"/>
          <w:sz w:val="24"/>
          <w:szCs w:val="24"/>
        </w:rPr>
        <w:t xml:space="preserve">39. Организации здравоохранения организуют и осуществляют производственный контроль за работой с ртутьсодержащими изделиями.</w:t>
      </w:r>
    </w:p>
    <w:p>
      <w:pPr>
        <w:spacing w:after="120"/>
        <w:ind w:firstLine="709"/>
        <w:jc w:val="both"/>
      </w:pPr>
      <w:r>
        <w:rPr>
          <w:rFonts w:ascii="Arial" w:cs="Arial" w:eastAsia="Arial" w:hAnsi="Arial"/>
          <w:sz w:val="24"/>
          <w:szCs w:val="24"/>
        </w:rPr>
        <w:t xml:space="preserve">Производственный контроль включает визуальную и документальную проверку (не реже 1 раза в месяц):</w:t>
      </w:r>
    </w:p>
    <w:p>
      <w:pPr>
        <w:spacing w:after="120"/>
        <w:ind w:firstLine="709"/>
        <w:jc w:val="both"/>
      </w:pPr>
      <w:r>
        <w:rPr>
          <w:rFonts w:ascii="Arial" w:cs="Arial" w:eastAsia="Arial" w:hAnsi="Arial"/>
          <w:sz w:val="24"/>
          <w:szCs w:val="24"/>
        </w:rPr>
        <w:t xml:space="preserve">– наличия демеркуризационных средств;</w:t>
      </w:r>
    </w:p>
    <w:p>
      <w:pPr>
        <w:spacing w:after="120"/>
        <w:ind w:firstLine="709"/>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120"/>
        <w:ind w:firstLine="709"/>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их компетенции.</w:t>
      </w:r>
    </w:p>
    <w:p>
      <w:pPr>
        <w:spacing w:after="3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brcnbjmmoa1seo5ayxh">
      <w:r>
        <w:rPr>
          <w:rFonts w:ascii="Arial" w:cs="Arial" w:eastAsia="Arial" w:hAnsi="Arial"/>
          <w:color w:val="132D3F"/>
          <w:sz w:val="16"/>
          <w:szCs w:val="16"/>
          <w:u w:val="single"/>
        </w:rPr>
        <w:t xml:space="preserve">dalil.kg/document/230029597</w:t>
      </w:r>
    </w:hyperlink>
  </w:p>
  <w:p>
    <w:pPr>
      <w:spacing w:after="0" w:before="40"/>
      <w:jc w:val="center"/>
    </w:pPr>
    <w:hyperlink w:history="1" r:id="rId0p3b2ydlqdkzchjryqq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a5i_nee3cnhf7gyb3xi" Type="http://schemas.openxmlformats.org/officeDocument/2006/relationships/hyperlink" Target="https://dalil.kg/document/230029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brcnbjmmoa1seo5ayxh" Type="http://schemas.openxmlformats.org/officeDocument/2006/relationships/hyperlink" Target="https://dalil.kg/document/230029597" TargetMode="External"/><Relationship Id="rId0p3b2ydlqdkzchjryqq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2026-09-27T10:42:48.913Z</dcterms:created>
  <dcterms:modified xsi:type="dcterms:W3CDTF">2026-09-27T10:42:48.913Z</dcterms:modified>
</cp:coreProperties>
</file>

<file path=docProps/custom.xml><?xml version="1.0" encoding="utf-8"?>
<Properties xmlns="http://schemas.openxmlformats.org/officeDocument/2006/custom-properties" xmlns:vt="http://schemas.openxmlformats.org/officeDocument/2006/docPropsVTypes"/>
</file>