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от 31 июля 2025 года № 180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Кыргызской Республики в связи с принятием Цифрового кодекса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4yx4ff-rpq2n2j9jdjr-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 (газета "Эркин-Тоо" от 16 ноября 2021 года № 122-133)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наименовании </w:t>
      </w:r>
      <w:r>
        <w:rPr>
          <w:rFonts w:ascii="Arial" w:cs="Arial" w:eastAsia="Arial" w:hAnsi="Arial"/>
          <w:sz w:val="24"/>
          <w:szCs w:val="24"/>
        </w:rPr>
        <w:t xml:space="preserve">главы 26</w:t>
      </w:r>
      <w:r>
        <w:rPr>
          <w:rFonts w:ascii="Arial" w:cs="Arial" w:eastAsia="Arial" w:hAnsi="Arial"/>
          <w:sz w:val="24"/>
          <w:szCs w:val="24"/>
        </w:rPr>
        <w:t xml:space="preserve"> слова "информационной безопасности" заменить словом "кибербезопасности";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статью 228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Статья 228</w:t>
      </w:r>
      <w:r>
        <w:rPr>
          <w:rFonts w:ascii="Arial" w:cs="Arial" w:eastAsia="Arial" w:hAnsi="Arial"/>
          <w:sz w:val="24"/>
          <w:szCs w:val="24"/>
        </w:rPr>
        <w:t xml:space="preserve">. Неправомерный доступ к охраняемым цифровым записям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Неправомерный доступ к чужим охраняемым цифровым записям, цифровым данным, информации и цифровым документам, сопряженный с их уничтожением, блокированием, модификацией, копированием или распространением информации, доступ к которой ограничен законом, -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на физических лиц в размере 200 расчетных показателей.";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дополнить </w:t>
      </w:r>
      <w:r>
        <w:rPr>
          <w:rFonts w:ascii="Arial" w:cs="Arial" w:eastAsia="Arial" w:hAnsi="Arial"/>
          <w:sz w:val="24"/>
          <w:szCs w:val="24"/>
        </w:rPr>
        <w:t xml:space="preserve">главой 26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Глава 26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Нарушения, посягающие на права субъектов правоотношений в цифровой среде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228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Нарушение прав пользователей цифровых технологий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Отказ в принятии цифровых документов, а равно отказ в использовании цифровых документов для предоставления услуг, за исключением установленных законом случаев, в которых использование цифровых документов не допускается, -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на физических лиц в размере 20 расчетных показателей, на юридических лиц - 50 расчетных показателей.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Отказ в принятии документов на бумажном носителе, а равно отказ в использовании документов на бумажном носителе для предоставления услуг, за исключением установленных законом случаев, в которых использование документов на бумажном носителе не допускается, -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на физических лиц в размере 20 расчетных показателей, на юридических лиц - 50 расчетных показателей.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228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 Нарушение прав принципалов данных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Отказ принципалу данных в предоставлении информации об обработке или в доступе к относящимся к нему цифровым данным в объеме, предусмотренном Цифровым </w:t>
      </w:r>
      <w:hyperlink w:history="1" r:id="rIdtv21cwtf8wpqrnzxd83k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повлекший нарушение его прав и интересов, -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на физических лиц в размере 20 расчетных показателей, на юридических лиц - 50 расчетных показателей.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Неисполнение запроса принципала данных на исправление или дополнение относящихся к нему цифровых записей, повлекшее нарушение его прав и интересов, -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на физических лиц в размере 20 расчетных показателей, на юридических лиц - 50 расчетных показателей.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Неисполнение запроса субъекта персональных данных на удаление таких данных, а равно непринятие предусмотренных Цифровым </w:t>
      </w:r>
      <w:hyperlink w:history="1" r:id="rIdwbpw8fbvdwsnxvq9odah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мер в случае получения возражения против их обработки, повлекшее нарушение прав и интересов субъекта персональных данных, -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на физических лиц в размере 20 расчетных показателей, на юридических лиц - 50 расчетных показателей.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228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. Нарушение цифровых прав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Незаконное ограничение цифровых прав, предусмотренных Цифровым </w:t>
      </w:r>
      <w:hyperlink w:history="1" r:id="rIdfeodl9upjf4_hnp0exwv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а равно нарушение установленных владельцем цифровых прав условий доступа к объекту правоотношений в цифровой среде, повлекшее нарушение прав и интересов субъекта правоотношений в цифровой среде, -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на физических лиц в размере 20 расчетных показателей, на юридических лиц - 50 расчетных показателей.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Незаконное установление владельцем цифровых прав условий доступа к объекту правоотношений в цифровой среде, повлекшее нарушение прав и интересов субъекта правоотношений в цифровой среде, -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на физических лиц в размере 20 расчетных показателей, на юридических лиц - 50 расчетных показателей.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228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. Нарушение прав участников системы идентификации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Нарушение правил системы идентификации, повлекшее нарушение прав и интересов участников системы идентификации, в том числе передача цифровых записей с идентификаторами лицам, не являющимся участниками системы идентификации, за исключением случаев, установленных законодательством, -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на физических лиц в размере 20 расчетных показателей, на юридических лиц - 50 расчетных показателей.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228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. Недобросовестные действия в цифровой среде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Осуществление недобросовестной обработки цифровых данных в нарушение запрета, установленного Цифровым </w:t>
      </w:r>
      <w:r>
        <w:rPr>
          <w:rFonts w:ascii="Arial" w:cs="Arial" w:eastAsia="Arial" w:hAnsi="Arial"/>
          <w:sz w:val="24"/>
          <w:szCs w:val="24"/>
        </w:rPr>
        <w:t xml:space="preserve">кодексом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-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на физических лиц в размере 50 расчетных показателей, на юридических лиц - 100 расчетных показателей.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Недобросовестная конкуренция и действия, ограничивающие конкуренцию, при предоставлении цифровых сервисов -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влекут наложение штрафа на физических лиц в размере 50 расчетных показателей, на юридических лиц - 100 расчетных показателей.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Деяния, предусмотренные частями 1 или 2 настоящей статьи, совершенные повторно в течение года после применения мер взыскания, -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влекут наложение штрафа на физических лиц в размере 100 расчетных показателей, на юридических лиц - 250 расчетных показателей.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228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. Нарушение прав участников рассмотрения споров в цифровой среде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Бездействие руководителя отраслевого регулятора, выразившееся в невынесении решения по спору в срок, установленный Цифровым </w:t>
      </w:r>
      <w:hyperlink w:history="1" r:id="rIdqbirnz-uamvfpnwfim4d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-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на должностных лиц в размере 100 расчетных показателей.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228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. Нарушение прав принципалов записей в цифровых реестрах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Нарушение порядка внесения и изменения записей в цифровые реестры, владельцем которых является Кыргызская Республика, повлекшее нарушение прав и интересов принципалов записей в цифровых реестрах, -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на должностных лиц в размере 100 расчетных показателей.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228</w:t>
      </w: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. Нарушение прав операторов телекоммуникаций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Непредоставление операторам телекоммуникаций права прохода в случаях, предусмотренных Цифровым </w:t>
      </w:r>
      <w:hyperlink w:history="1" r:id="rIdns9kua_zrhp8qmweo4ek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-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на должностных лиц в размере 100 расчетных показателей, на юридических лиц - 500 расчетных показателей.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228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. Незаконное проектирование, разработка или применение систем искусственного интеллекта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Проектирование, разработка или применение систем искусственного интеллекта для целенаправленного и заведомо незаконного причинения вреда охраняемым благам, предусмотренным Цифровым </w:t>
      </w:r>
      <w:hyperlink w:history="1" r:id="rId2gwd-r8_lpd_7xz9pv0d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-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влекут наложение штрафа на физических лиц в размере 200 расчетных показателей, на юридических лиц - 650 расчетных показателей.";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наименовании </w:t>
      </w:r>
      <w:r>
        <w:rPr>
          <w:rFonts w:ascii="Arial" w:cs="Arial" w:eastAsia="Arial" w:hAnsi="Arial"/>
          <w:sz w:val="24"/>
          <w:szCs w:val="24"/>
        </w:rPr>
        <w:t xml:space="preserve">главы 43</w:t>
      </w:r>
      <w:r>
        <w:rPr>
          <w:rFonts w:ascii="Arial" w:cs="Arial" w:eastAsia="Arial" w:hAnsi="Arial"/>
          <w:sz w:val="24"/>
          <w:szCs w:val="24"/>
        </w:rPr>
        <w:t xml:space="preserve"> слова "и связи" заменить словами ", телекоммуникаций и почтовой связи";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sz w:val="24"/>
          <w:szCs w:val="24"/>
        </w:rPr>
        <w:t xml:space="preserve">статью 408</w:t>
      </w:r>
      <w:r>
        <w:rPr>
          <w:rFonts w:ascii="Arial" w:cs="Arial" w:eastAsia="Arial" w:hAnsi="Arial"/>
          <w:sz w:val="24"/>
          <w:szCs w:val="24"/>
        </w:rPr>
        <w:t xml:space="preserve"> признать утратившей силу;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sz w:val="24"/>
          <w:szCs w:val="24"/>
        </w:rPr>
        <w:t xml:space="preserve">статью 409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Статья 409</w:t>
      </w:r>
      <w:r>
        <w:rPr>
          <w:rFonts w:ascii="Arial" w:cs="Arial" w:eastAsia="Arial" w:hAnsi="Arial"/>
          <w:sz w:val="24"/>
          <w:szCs w:val="24"/>
        </w:rPr>
        <w:t xml:space="preserve">. Нарушение правил деятельности в сфере почтовой связи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Нарушение правил деятельности в сфере почтовой связи -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на юридических лиц в размере 230 расчетных показателей.";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статьи </w:t>
      </w:r>
      <w:r>
        <w:rPr>
          <w:rFonts w:ascii="Arial" w:cs="Arial" w:eastAsia="Arial" w:hAnsi="Arial"/>
          <w:sz w:val="24"/>
          <w:szCs w:val="24"/>
        </w:rPr>
        <w:t xml:space="preserve">412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413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412. Неправомерное использование ресурсов нумерации и радиочастот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Использование нумерации или радиочастот в нарушение условий, определенных в решении об их выделении или присвоении, а равно использование нумерации или радиочастот, не выделенных (не присвоенных) в установленном порядке, -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на физических лиц в размере 100 расчетных показателей, на юридических лиц - 500 расчетных показателей.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413</w:t>
      </w:r>
      <w:r>
        <w:rPr>
          <w:rFonts w:ascii="Arial" w:cs="Arial" w:eastAsia="Arial" w:hAnsi="Arial"/>
          <w:sz w:val="24"/>
          <w:szCs w:val="24"/>
        </w:rPr>
        <w:t xml:space="preserve">. Нарушение установленных охранных зон для телекоммуникационных сетей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Нарушение охранных зон для телекоммуникационных сетей, установленных в соответствии с земельным и градостроительным законодательством, -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на физических лиц в размере 30 расчетных показателей, на юридических лиц - 130 расчетных показателей.";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часть 2 </w:t>
      </w:r>
      <w:r>
        <w:rPr>
          <w:rFonts w:ascii="Arial" w:cs="Arial" w:eastAsia="Arial" w:hAnsi="Arial"/>
          <w:sz w:val="24"/>
          <w:szCs w:val="24"/>
        </w:rPr>
        <w:t xml:space="preserve">статьи 454</w:t>
      </w:r>
      <w:r>
        <w:rPr>
          <w:rFonts w:ascii="Arial" w:cs="Arial" w:eastAsia="Arial" w:hAnsi="Arial"/>
          <w:sz w:val="24"/>
          <w:szCs w:val="24"/>
        </w:rPr>
        <w:t xml:space="preserve"> после цифр "99," дополнить цифрами "228-2, 228-4, 228-7 - 228-10,";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r>
        <w:rPr>
          <w:rFonts w:ascii="Arial" w:cs="Arial" w:eastAsia="Arial" w:hAnsi="Arial"/>
          <w:sz w:val="24"/>
          <w:szCs w:val="24"/>
        </w:rPr>
        <w:t xml:space="preserve">статью 483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Статья 483</w:t>
      </w:r>
      <w:r>
        <w:rPr>
          <w:rFonts w:ascii="Arial" w:cs="Arial" w:eastAsia="Arial" w:hAnsi="Arial"/>
          <w:sz w:val="24"/>
          <w:szCs w:val="24"/>
        </w:rPr>
        <w:t xml:space="preserve">. Отраслевой регулятор в сфере телекоммуникаций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Отраслевой регулятор в сфере телекоммуникаций рассматривает дела о правонарушениях и налагает взыскания, предусмотренные статьями </w:t>
      </w:r>
      <w:r>
        <w:rPr>
          <w:rFonts w:ascii="Arial" w:cs="Arial" w:eastAsia="Arial" w:hAnsi="Arial"/>
          <w:sz w:val="24"/>
          <w:szCs w:val="24"/>
        </w:rPr>
        <w:t xml:space="preserve">409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412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413</w:t>
      </w:r>
      <w:r>
        <w:rPr>
          <w:rFonts w:ascii="Arial" w:cs="Arial" w:eastAsia="Arial" w:hAnsi="Arial"/>
          <w:sz w:val="24"/>
          <w:szCs w:val="24"/>
        </w:rPr>
        <w:t xml:space="preserve"> настоящего Кодекса.";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r>
        <w:rPr>
          <w:rFonts w:ascii="Arial" w:cs="Arial" w:eastAsia="Arial" w:hAnsi="Arial"/>
          <w:sz w:val="24"/>
          <w:szCs w:val="24"/>
        </w:rPr>
        <w:t xml:space="preserve">статью 494</w:t>
      </w:r>
      <w:r>
        <w:rPr>
          <w:rFonts w:ascii="Arial" w:cs="Arial" w:eastAsia="Arial" w:hAnsi="Arial"/>
          <w:sz w:val="24"/>
          <w:szCs w:val="24"/>
        </w:rPr>
        <w:t xml:space="preserve"> после цифр "76," дополнить цифрами "228-6,";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r>
        <w:rPr>
          <w:rFonts w:ascii="Arial" w:cs="Arial" w:eastAsia="Arial" w:hAnsi="Arial"/>
          <w:sz w:val="24"/>
          <w:szCs w:val="24"/>
        </w:rPr>
        <w:t xml:space="preserve">главу 51</w:t>
      </w:r>
      <w:r>
        <w:rPr>
          <w:rFonts w:ascii="Arial" w:cs="Arial" w:eastAsia="Arial" w:hAnsi="Arial"/>
          <w:sz w:val="24"/>
          <w:szCs w:val="24"/>
        </w:rPr>
        <w:t xml:space="preserve"> дополнить </w:t>
      </w:r>
      <w:r>
        <w:rPr>
          <w:rFonts w:ascii="Arial" w:cs="Arial" w:eastAsia="Arial" w:hAnsi="Arial"/>
          <w:sz w:val="24"/>
          <w:szCs w:val="24"/>
        </w:rPr>
        <w:t xml:space="preserve">статьей 496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Статья 496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Отраслевой регулятор в сфере персональных данных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Отраслевой регулятор в сфере персональных данных рассматривает дела о правонарушениях и налагает взыскания, предусмотренные статьями </w:t>
      </w:r>
      <w:r>
        <w:rPr>
          <w:rFonts w:ascii="Arial" w:cs="Arial" w:eastAsia="Arial" w:hAnsi="Arial"/>
          <w:sz w:val="24"/>
          <w:szCs w:val="24"/>
        </w:rPr>
        <w:t xml:space="preserve">228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228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настоящего Кодекса.".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usaimnntvfkxubbz0rv2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социальном страховании" (Ведомости Жогорку Кенеша Кыргызской Республики, 1996 г., № 7, ст.85)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статье 27-1</w:t>
      </w:r>
      <w:r>
        <w:rPr>
          <w:rFonts w:ascii="Arial" w:cs="Arial" w:eastAsia="Arial" w:hAnsi="Arial"/>
          <w:sz w:val="24"/>
          <w:szCs w:val="24"/>
        </w:rPr>
        <w:t xml:space="preserve"> слова "законодательства о передаче информации персонального характера" заменить словами "Цифрового </w:t>
      </w:r>
      <w:hyperlink w:history="1" r:id="rIdfqdbdrrvpgdyjmlpt5my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-ajoom4xugtjnjon5vbx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внутренней миграции" (Ведомости Жогорку Кенеша Кыргызской Республики, 2002 г., № 10, ст.434)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статью 1</w:t>
      </w:r>
      <w:r>
        <w:rPr>
          <w:rFonts w:ascii="Arial" w:cs="Arial" w:eastAsia="Arial" w:hAnsi="Arial"/>
          <w:sz w:val="24"/>
          <w:szCs w:val="24"/>
        </w:rPr>
        <w:t xml:space="preserve"> дополнить абзацем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"Другие термины в настоящем Законе применяются в значениях, приведенных в Цифровом </w:t>
      </w:r>
      <w:hyperlink w:history="1" r:id="rIdvbhqivp8v4sybjablz7d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кодексе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статью 23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Статья 23</w:t>
      </w:r>
      <w:r>
        <w:rPr>
          <w:rFonts w:ascii="Arial" w:cs="Arial" w:eastAsia="Arial" w:hAnsi="Arial"/>
          <w:sz w:val="24"/>
          <w:szCs w:val="24"/>
        </w:rPr>
        <w:t xml:space="preserve">. Содержание реестра населения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Реестр населения состоит из персональных данных граждан Кыргызской Республики. Содержание персональных данных граждан составляет основу государственных информационных ресурсов о населении.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персональных данных, обрабатываемых в реестре населения, определяется его владельцем с учетом целей, оснований, принципов обработки и требований, установленных Цифровым </w:t>
      </w:r>
      <w:hyperlink w:history="1" r:id="rIdja1olnyw8affkc_tiob9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r189sbuzeap7s9bi140k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лицензионно-разрешительной системе в Кыргызской Республике" (Ведомости Жогорку Кенеша Кыргызской Республики, 2013 г., № 9, ст.990)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абзац пятый части 4 </w:t>
      </w:r>
      <w:r>
        <w:rPr>
          <w:rFonts w:ascii="Arial" w:cs="Arial" w:eastAsia="Arial" w:hAnsi="Arial"/>
          <w:sz w:val="24"/>
          <w:szCs w:val="24"/>
        </w:rPr>
        <w:t xml:space="preserve">статьи 2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"Порядок и особенности лицензирования деятельности операторов телекоммуникаций, а также присвоения радиочастот для эксплуатации радиоэлектронных средств регулируются Цифровым </w:t>
      </w:r>
      <w:hyperlink w:history="1" r:id="rIdg60vwvxa4lg9wdkvra2k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принимаемыми в соответствии с ним актами Кабинета Министров Кыргызской Республики.";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r>
        <w:rPr>
          <w:rFonts w:ascii="Arial" w:cs="Arial" w:eastAsia="Arial" w:hAnsi="Arial"/>
          <w:sz w:val="24"/>
          <w:szCs w:val="24"/>
        </w:rPr>
        <w:t xml:space="preserve">статье 15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11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"11) деятельность оператора телекоммуникаций;";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 13 признать утратившим силу;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 1 </w:t>
      </w:r>
      <w:r>
        <w:rPr>
          <w:rFonts w:ascii="Arial" w:cs="Arial" w:eastAsia="Arial" w:hAnsi="Arial"/>
          <w:sz w:val="24"/>
          <w:szCs w:val="24"/>
        </w:rPr>
        <w:t xml:space="preserve">статьи 16</w:t>
      </w:r>
      <w:r>
        <w:rPr>
          <w:rFonts w:ascii="Arial" w:cs="Arial" w:eastAsia="Arial" w:hAnsi="Arial"/>
          <w:sz w:val="24"/>
          <w:szCs w:val="24"/>
        </w:rPr>
        <w:t xml:space="preserve"> признать утратившим силу.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ep5keqnbt2k8rfcbniwf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и муниципальных услугах" (Ведомости Жогорку Кенеша Кыргызской Республики, 2014 г., № 7, ст.676)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абзац второй части 1 </w:t>
      </w:r>
      <w:r>
        <w:rPr>
          <w:rFonts w:ascii="Arial" w:cs="Arial" w:eastAsia="Arial" w:hAnsi="Arial"/>
          <w:sz w:val="24"/>
          <w:szCs w:val="24"/>
        </w:rPr>
        <w:t xml:space="preserve">статьи 1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"Цифровые сервисы для предоставления государственных и муниципальных услуг и осуществления государственных и муниципальных функций (государственные сервисы) предоставляются в рамках национальной цифровой экосистемы (национальной цифровой экосистемы). Правила создания и использования государственных сервисов устанавливаются Цифровым </w:t>
      </w:r>
      <w:hyperlink w:history="1" r:id="rId5gswf-ze2zos6wpqdpmj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r>
        <w:rPr>
          <w:rFonts w:ascii="Arial" w:cs="Arial" w:eastAsia="Arial" w:hAnsi="Arial"/>
          <w:sz w:val="24"/>
          <w:szCs w:val="24"/>
        </w:rPr>
        <w:t xml:space="preserve">статье 3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девятнадцатый признать утратившим силу;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дополнить абзацем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"Другие термины в настоящем Законе применяются в значениях, приведенных в Цифровом </w:t>
      </w:r>
      <w:hyperlink w:history="1" r:id="rIdizrut5rqkkmetxukhd-s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кодексе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пункте 15 </w:t>
      </w:r>
      <w:r>
        <w:rPr>
          <w:rFonts w:ascii="Arial" w:cs="Arial" w:eastAsia="Arial" w:hAnsi="Arial"/>
          <w:sz w:val="24"/>
          <w:szCs w:val="24"/>
        </w:rPr>
        <w:t xml:space="preserve">статьи 11</w:t>
      </w:r>
      <w:r>
        <w:rPr>
          <w:rFonts w:ascii="Arial" w:cs="Arial" w:eastAsia="Arial" w:hAnsi="Arial"/>
          <w:sz w:val="24"/>
          <w:szCs w:val="24"/>
        </w:rPr>
        <w:t xml:space="preserve"> слова "в электронном формате" заменить словами "в виде цифрового сервиса";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части 2 </w:t>
      </w:r>
      <w:r>
        <w:rPr>
          <w:rFonts w:ascii="Arial" w:cs="Arial" w:eastAsia="Arial" w:hAnsi="Arial"/>
          <w:sz w:val="24"/>
          <w:szCs w:val="24"/>
        </w:rPr>
        <w:t xml:space="preserve">статьи 13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пункте 8 слово "электронном" заменить словом "цифровом";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 9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"9) особенности предоставления государственной или муниципальной услуги в виде цифрового сервиса, а также особенности (если таковые имеются) предоставления государственной или муниципальной услуги отдельным категориям потребителей государственной и муниципальной услуги (лицам с инвалидностью, несовершеннолетним, пенсионерам и т.д.);";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часть 1 </w:t>
      </w:r>
      <w:r>
        <w:rPr>
          <w:rFonts w:ascii="Arial" w:cs="Arial" w:eastAsia="Arial" w:hAnsi="Arial"/>
          <w:sz w:val="24"/>
          <w:szCs w:val="24"/>
        </w:rPr>
        <w:t xml:space="preserve">статьи 15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Государственные или муниципальные услуги оказываются через пункты доступа к государственным или муниципальным услугам либо в виде цифрового сервиса через приложения и сайт государственных цифровых сервисов в соответствии с Цифровым </w:t>
      </w:r>
      <w:hyperlink w:history="1" r:id="rIdyksykpiplz3-adft-e6z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абзаце третьем части 1 </w:t>
      </w:r>
      <w:r>
        <w:rPr>
          <w:rFonts w:ascii="Arial" w:cs="Arial" w:eastAsia="Arial" w:hAnsi="Arial"/>
          <w:sz w:val="24"/>
          <w:szCs w:val="24"/>
        </w:rPr>
        <w:t xml:space="preserve">статьи 16</w:t>
      </w:r>
      <w:r>
        <w:rPr>
          <w:rFonts w:ascii="Arial" w:cs="Arial" w:eastAsia="Arial" w:hAnsi="Arial"/>
          <w:sz w:val="24"/>
          <w:szCs w:val="24"/>
        </w:rPr>
        <w:t xml:space="preserve"> слово "электронный" заменить словом "цифровой".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ujfjgnrbncbwt9klz3nv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электронной торговле" (газета "Эркин-Тоо" от 28 декабря 2021 года № 155)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r>
        <w:rPr>
          <w:rFonts w:ascii="Arial" w:cs="Arial" w:eastAsia="Arial" w:hAnsi="Arial"/>
          <w:sz w:val="24"/>
          <w:szCs w:val="24"/>
        </w:rPr>
        <w:t xml:space="preserve">статье 3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1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Институты, термины и определения цифрового и других отраслей законодательства Кыргызской Республики, используемые в настоящем Законе, применяются в том определении, в каком они приведены в Цифровом </w:t>
      </w:r>
      <w:hyperlink w:history="1" r:id="rIdkgkaokoqg0dd51m-wvwk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кодексе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в соответствующем отраслевом законодательстве, если иное не предусмотрено настоящим Законом.";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 9 части 2 признать утратившим силу;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r>
        <w:rPr>
          <w:rFonts w:ascii="Arial" w:cs="Arial" w:eastAsia="Arial" w:hAnsi="Arial"/>
          <w:sz w:val="24"/>
          <w:szCs w:val="24"/>
        </w:rPr>
        <w:t xml:space="preserve">статье 15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наименование изложить в следующей редакции: "</w:t>
      </w:r>
      <w:r>
        <w:rPr>
          <w:rFonts w:ascii="Arial" w:cs="Arial" w:eastAsia="Arial" w:hAnsi="Arial"/>
          <w:sz w:val="24"/>
          <w:szCs w:val="24"/>
        </w:rPr>
        <w:t xml:space="preserve">Статья 15</w:t>
      </w:r>
      <w:r>
        <w:rPr>
          <w:rFonts w:ascii="Arial" w:cs="Arial" w:eastAsia="Arial" w:hAnsi="Arial"/>
          <w:sz w:val="24"/>
          <w:szCs w:val="24"/>
        </w:rPr>
        <w:t xml:space="preserve">. Требования по обеспечению безопасности и цифровой устойчивости";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3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Участники электронной торговли обязаны принимать меры по обеспечению цифровой устойчивости в сфере электронной торговли в соответствии с требованиями, установленными Цифровым </w:t>
      </w:r>
      <w:hyperlink w:history="1" r:id="rId4tm2lmqcsl30ok_s5sv1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xx2fv6rcbxzli9udphgu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виртуальных активах" (газета "Эркин-Тоо" от 28 января 2022 года № 12)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r>
        <w:rPr>
          <w:rFonts w:ascii="Arial" w:cs="Arial" w:eastAsia="Arial" w:hAnsi="Arial"/>
          <w:sz w:val="24"/>
          <w:szCs w:val="24"/>
        </w:rPr>
        <w:t xml:space="preserve">статье 4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пункты 13 и 14 части 1 признать утратившими силу;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2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Понятия и термины, не определенные в настоящей статье и используемые в настоящем Законе, применяются в том определении, в котором они приведены в Цифровом </w:t>
      </w:r>
      <w:hyperlink w:history="1" r:id="rIdmfvhrco0x9elq_entyk8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кодексе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соответствующем отраслевом законодательстве, если иное не предусмотрено настоящим Законом.";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статью 14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Статья 14</w:t>
      </w:r>
      <w:r>
        <w:rPr>
          <w:rFonts w:ascii="Arial" w:cs="Arial" w:eastAsia="Arial" w:hAnsi="Arial"/>
          <w:sz w:val="24"/>
          <w:szCs w:val="24"/>
        </w:rPr>
        <w:t xml:space="preserve">. Цифровой реестр майнеров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Цифровой реестр майнеров (далее - Реестр) - цифровой ресурс, состоящий из записей, подтверждающих регистрацию и предоставление соответствующего сертификата майнерам, доступ к которому осуществляется через приложения и сайт государственных цифровых сервисов в соответствии с Цифровым </w:t>
      </w:r>
      <w:hyperlink w:history="1" r:id="rId3fpqrzyysyecurbcnzu9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 на осуществление майнинга возникает, изменяется или прекращается с момента создания соответствующей записи в Реестре или внесения в нее изменений.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Владелец Реестра обеспечивает полноту, достоверность и актуальность данных в нем.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регистрации майнеров и порядок предоставления сертификата в виде документа на бумажном носителе или цифрового документа определяются уполномоченным государственным органом в сфере виртуальных активов.".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подлежит официальному опубликованию и вступает в силу по истечении шести месяцев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5 августа 2025 года № 58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18 июня 2025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tc2llg_rsviirzmsw4f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dalil.kg/document/230029901</w:t>
      </w:r>
    </w:hyperlink>
  </w:p>
  <w:p>
    <w:pPr>
      <w:spacing w:after="0" w:before="40"/>
      <w:jc w:val="center"/>
    </w:pPr>
    <w:hyperlink w:history="1" r:id="rIdsp4hosriurs7p6ay42i1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yx4ff-rpq2n2j9jdjr-r" Type="http://schemas.openxmlformats.org/officeDocument/2006/relationships/hyperlink" Target="https://dalil.kg/document/112306" TargetMode="External"/><Relationship Id="rIdtv21cwtf8wpqrnzxd83kq" Type="http://schemas.openxmlformats.org/officeDocument/2006/relationships/hyperlink" Target="https://dalil.kg/document/230029914" TargetMode="External"/><Relationship Id="rIdwbpw8fbvdwsnxvq9odahd" Type="http://schemas.openxmlformats.org/officeDocument/2006/relationships/hyperlink" Target="https://dalil.kg/document/230029914" TargetMode="External"/><Relationship Id="rIdfeodl9upjf4_hnp0exwvv" Type="http://schemas.openxmlformats.org/officeDocument/2006/relationships/hyperlink" Target="https://dalil.kg/document/230029914" TargetMode="External"/><Relationship Id="rIdqbirnz-uamvfpnwfim4dj" Type="http://schemas.openxmlformats.org/officeDocument/2006/relationships/hyperlink" Target="https://dalil.kg/document/230029914" TargetMode="External"/><Relationship Id="rIdns9kua_zrhp8qmweo4ekq" Type="http://schemas.openxmlformats.org/officeDocument/2006/relationships/hyperlink" Target="https://dalil.kg/document/230029914" TargetMode="External"/><Relationship Id="rId2gwd-r8_lpd_7xz9pv0dm" Type="http://schemas.openxmlformats.org/officeDocument/2006/relationships/hyperlink" Target="https://dalil.kg/document/230029914" TargetMode="External"/><Relationship Id="rIdusaimnntvfkxubbz0rv25" Type="http://schemas.openxmlformats.org/officeDocument/2006/relationships/hyperlink" Target="https://dalil.kg/document/627" TargetMode="External"/><Relationship Id="rIdfqdbdrrvpgdyjmlpt5myf" Type="http://schemas.openxmlformats.org/officeDocument/2006/relationships/hyperlink" Target="https://dalil.kg/document/230029914" TargetMode="External"/><Relationship Id="rId-ajoom4xugtjnjon5vbxs" Type="http://schemas.openxmlformats.org/officeDocument/2006/relationships/hyperlink" Target="https://dalil.kg/document/1090" TargetMode="External"/><Relationship Id="rIdvbhqivp8v4sybjablz7dk" Type="http://schemas.openxmlformats.org/officeDocument/2006/relationships/hyperlink" Target="https://dalil.kg/document/230029914" TargetMode="External"/><Relationship Id="rIdja1olnyw8affkc_tiob9y" Type="http://schemas.openxmlformats.org/officeDocument/2006/relationships/hyperlink" Target="https://dalil.kg/document/230029914" TargetMode="External"/><Relationship Id="rIdr189sbuzeap7s9bi140kp" Type="http://schemas.openxmlformats.org/officeDocument/2006/relationships/hyperlink" Target="https://dalil.kg/document/205058" TargetMode="External"/><Relationship Id="rIdg60vwvxa4lg9wdkvra2ki" Type="http://schemas.openxmlformats.org/officeDocument/2006/relationships/hyperlink" Target="https://dalil.kg/document/230029914" TargetMode="External"/><Relationship Id="rIdep5keqnbt2k8rfcbniwfo" Type="http://schemas.openxmlformats.org/officeDocument/2006/relationships/hyperlink" Target="https://dalil.kg/document/205360" TargetMode="External"/><Relationship Id="rId5gswf-ze2zos6wpqdpmjx" Type="http://schemas.openxmlformats.org/officeDocument/2006/relationships/hyperlink" Target="https://dalil.kg/document/230029914" TargetMode="External"/><Relationship Id="rIdizrut5rqkkmetxukhd-s7" Type="http://schemas.openxmlformats.org/officeDocument/2006/relationships/hyperlink" Target="https://dalil.kg/document/230029914" TargetMode="External"/><Relationship Id="rIdyksykpiplz3-adft-e6z4" Type="http://schemas.openxmlformats.org/officeDocument/2006/relationships/hyperlink" Target="https://dalil.kg/document/230029914" TargetMode="External"/><Relationship Id="rIdujfjgnrbncbwt9klz3nv0" Type="http://schemas.openxmlformats.org/officeDocument/2006/relationships/hyperlink" Target="https://dalil.kg/document/112333" TargetMode="External"/><Relationship Id="rIdkgkaokoqg0dd51m-wvwk_" Type="http://schemas.openxmlformats.org/officeDocument/2006/relationships/hyperlink" Target="https://dalil.kg/document/230029914" TargetMode="External"/><Relationship Id="rId4tm2lmqcsl30ok_s5sv1r" Type="http://schemas.openxmlformats.org/officeDocument/2006/relationships/hyperlink" Target="https://dalil.kg/document/230029914" TargetMode="External"/><Relationship Id="rIdxx2fv6rcbxzli9udphguj" Type="http://schemas.openxmlformats.org/officeDocument/2006/relationships/hyperlink" Target="https://dalil.kg/document/112346" TargetMode="External"/><Relationship Id="rIdmfvhrco0x9elq_entyk8g" Type="http://schemas.openxmlformats.org/officeDocument/2006/relationships/hyperlink" Target="https://dalil.kg/document/230029914" TargetMode="External"/><Relationship Id="rId3fpqrzyysyecurbcnzu9s" Type="http://schemas.openxmlformats.org/officeDocument/2006/relationships/hyperlink" Target="https://dalil.kg/document/230029914" TargetMode="External"/><Relationship Id="rId8" Type="http://schemas.openxmlformats.org/officeDocument/2006/relationships/image" Target="media/8de64316e95979c063c17bcd5380dc052a2594e9.png"/><Relationship Id="rId3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tc2llg_rsviirzmsw4fr" Type="http://schemas.openxmlformats.org/officeDocument/2006/relationships/hyperlink" Target="https://dalil.kg/document/230029901" TargetMode="External"/><Relationship Id="rIdsp4hosriurs7p6ay42i1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2026-09-23T22:16:37.245Z</dcterms:created>
  <dcterms:modified xsi:type="dcterms:W3CDTF">2026-09-23T22:16:37.245Z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