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2025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актов в области общественного здравоохранения» от 11 апреля 2016 года 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поэтапного внедрения двенадцатилетней структуры школьного образования в Кыргызской Республике на 2024–2028 годы</w:t>
      </w:r>
      <w:r>
        <w:rPr>
          <w:rFonts w:ascii="Arial" w:cs="Arial" w:eastAsia="Arial" w:hAnsi="Arial"/>
          <w:sz w:val="24"/>
          <w:szCs w:val="24"/>
        </w:rPr>
        <w:t xml:space="preserve">, в соответствии со</w:t>
      </w: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64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«Об общественном здравоохранении»,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ver7eijf3tqjr_a3ni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актов в области общественного здравоохранения» от 11 апреля 2016 года № 201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правила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30f1u5qvgeo8jzblly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нормативах </w:t>
        </w:r>
      </w:hyperlink>
      <w:r>
        <w:rPr>
          <w:rFonts w:ascii="Arial" w:cs="Arial" w:eastAsia="Arial" w:hAnsi="Arial"/>
          <w:sz w:val="24"/>
          <w:szCs w:val="24"/>
        </w:rPr>
        <w:t xml:space="preserve">«Санитарно-эпидемиологические требования к условиям и организации обучения в общеобразовательных организациях», утвержденных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Санитарные правила распространяются на проектируемые, действующие, строящиеся и реконструируемые общеобразовательные организации, независимо от их вида и форм собственности, реализующие программы начального общего, основного общего и среднего общего образования и осуществляющие образовательный процесс в соответствии с уровнями общеобразовательных программ общего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начальное общее образование (далее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1 уровень образования);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общее образование (далее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2 уровень образования);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общее образование (далее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3 уровень образования)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–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– содержание образования конкретного уровня, направления, определяющее цели, задачи, планируемые результаты, организацию образовательного процесса конкретного уровня;»;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общее образование</w:t>
      </w:r>
      <w:r>
        <w:rPr>
          <w:rFonts w:ascii="Arial" w:cs="Arial" w:eastAsia="Arial" w:hAnsi="Arial"/>
          <w:sz w:val="24"/>
          <w:szCs w:val="24"/>
        </w:rPr>
        <w:t xml:space="preserve"> – система воспитания и обучения, обеспечивающая соответствующие ее уровням знания, умения, практические навыки и компетенции, достаточные для ее активной деятельности в обществе.»;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«ступени» заменить словом «уровня»;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</w:t>
      </w:r>
      <w:r>
        <w:rPr>
          <w:rFonts w:ascii="Arial" w:cs="Arial" w:eastAsia="Arial" w:hAnsi="Arial"/>
          <w:sz w:val="24"/>
          <w:szCs w:val="24"/>
        </w:rPr>
        <w:t xml:space="preserve"> «ступеней» заменить словом «уровней»;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32 цифры «1–4» заменить цифрами «1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6»;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33 слово «ступеней» заменить словом «уровней»;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44 в графе «Возраст детей»</w:t>
      </w:r>
      <w:r>
        <w:rPr>
          <w:rFonts w:ascii="Arial" w:cs="Arial" w:eastAsia="Arial" w:hAnsi="Arial"/>
          <w:sz w:val="24"/>
          <w:szCs w:val="24"/>
        </w:rPr>
        <w:t xml:space="preserve">таблиц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цифру «7» заменить цифрой «6»;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50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50. Тип библиотеки зависит от вида общеобразовательной организации и ее вместимости. В общеобразовательных организациях библиотеку используют в качестве справочно-информационного центра. Площадь библиотеки (информационного центра) необходимо принимать из расчета не менее 0,6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одного обучающегося.»;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61 слово «ступеней» заменить словом «уровней»;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65 цифры «5–11» заменить цифрами «5–12»;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77 слово «ступени» заменить словом «уровня»;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86 слово «ступени» в различных падежах заменить словом «уровня»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</w:t>
      </w:r>
      <w:r>
        <w:rPr>
          <w:rFonts w:ascii="Arial" w:cs="Arial" w:eastAsia="Arial" w:hAnsi="Arial"/>
          <w:sz w:val="24"/>
          <w:szCs w:val="24"/>
        </w:rPr>
        <w:t xml:space="preserve">ующих падежах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160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161 слова «11-х» заменить словами «12-х»;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163: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«при 6-дневной учебной неделе»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«11-х» заменить словами «12-х»;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166 слово «ступени» в различных падежах заменить на слова «уровни» в соответств</w:t>
      </w:r>
      <w:r>
        <w:rPr>
          <w:rFonts w:ascii="Arial" w:cs="Arial" w:eastAsia="Arial" w:hAnsi="Arial"/>
          <w:sz w:val="24"/>
          <w:szCs w:val="24"/>
        </w:rPr>
        <w:t xml:space="preserve">ующих падежах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167 слова «11-х» заменить словами «12-х»;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170 после цифры «1» дополнить словами «–2-го»;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171 после цифры «1» дополнить словами «–2-м»;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177 слово «ступени» заменить словом «уровне»;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178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«178. При объединении обучающихся 1 уровня образования в класс-комплект оптимальным является создание его из двух классов: 
 2 и 3 классов (2+3), 2 и 4 классов (2</w:t>
      </w:r>
      <w:r>
        <w:rPr>
          <w:rFonts w:ascii="Arial" w:cs="Arial" w:eastAsia="Arial" w:hAnsi="Arial"/>
          <w:sz w:val="24"/>
          <w:szCs w:val="24"/>
        </w:rPr>
        <w:t xml:space="preserve">+</w:t>
      </w:r>
      <w:r>
        <w:rPr>
          <w:rFonts w:ascii="Arial" w:cs="Arial" w:eastAsia="Arial" w:hAnsi="Arial"/>
          <w:sz w:val="24"/>
          <w:szCs w:val="24"/>
        </w:rPr>
        <w:t xml:space="preserve">4). Для предупреждения утомления обучающихся необходимо сокращать продолжительность совмещенных (особенно 4-х и 5-х) уроков на 5–10 мин. (кроме урока физической культуры). Наполняемость классов-комплектов должна соответствовать таблице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Наполняемость классов-комплектов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0"/>
        <w:gridCol w:w="4918"/>
      </w:tblGrid>
      <w:tr>
        <w:tc>
          <w:tcPr>
            <w:tcW w:type="dxa" w:w="52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Классы, объединяемые 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класс-комплект</w:t>
            </w:r>
          </w:p>
        </w:tc>
        <w:tc>
          <w:tcPr>
            <w:tcW w:type="dxa" w:w="4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обучающихся в классе-комплекте</w:t>
            </w:r>
          </w:p>
        </w:tc>
      </w:tr>
      <w:tr>
        <w:tc>
          <w:tcPr>
            <w:tcW w:type="dxa" w:w="5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1+2</w:t>
            </w:r>
          </w:p>
        </w:tc>
        <w:tc>
          <w:tcPr>
            <w:tcW w:type="dxa" w:w="4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8–10</w:t>
            </w:r>
          </w:p>
        </w:tc>
      </w:tr>
      <w:tr>
        <w:tc>
          <w:tcPr>
            <w:tcW w:type="dxa" w:w="5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1+4</w:t>
            </w:r>
          </w:p>
        </w:tc>
        <w:tc>
          <w:tcPr>
            <w:tcW w:type="dxa" w:w="4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8–10</w:t>
            </w:r>
          </w:p>
        </w:tc>
      </w:tr>
      <w:tr>
        <w:tc>
          <w:tcPr>
            <w:tcW w:type="dxa" w:w="5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2+3</w:t>
            </w:r>
          </w:p>
        </w:tc>
        <w:tc>
          <w:tcPr>
            <w:tcW w:type="dxa" w:w="4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10–12</w:t>
            </w:r>
          </w:p>
        </w:tc>
      </w:tr>
      <w:tr>
        <w:tc>
          <w:tcPr>
            <w:tcW w:type="dxa" w:w="5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2+4</w:t>
            </w:r>
          </w:p>
        </w:tc>
        <w:tc>
          <w:tcPr>
            <w:tcW w:type="dxa" w:w="4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10–15</w:t>
            </w:r>
          </w:p>
        </w:tc>
      </w:tr>
      <w:tr>
        <w:tc>
          <w:tcPr>
            <w:tcW w:type="dxa" w:w="5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3+4</w:t>
            </w:r>
          </w:p>
        </w:tc>
        <w:tc>
          <w:tcPr>
            <w:tcW w:type="dxa" w:w="4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10–15</w:t>
            </w:r>
          </w:p>
        </w:tc>
      </w:tr>
    </w:tbl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 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180 цифры «11» заменить цифрами «12»;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183 цифры «11» заменить цифрами «12»;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таблице 5 пункта 184 в графе «Классы» цифры «11» </w:t>
      </w:r>
      <w:r>
        <w:rPr>
          <w:rFonts w:ascii="Arial" w:cs="Arial" w:eastAsia="Arial" w:hAnsi="Arial"/>
          <w:sz w:val="24"/>
          <w:szCs w:val="24"/>
        </w:rPr>
        <w:t xml:space="preserve">заменить цифрами «12»;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197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«197. Объем домашних заданий (по всем предметам) должен быть таким, чтобы затраты времени на его выполнение не превышали (в астрономических часах): в 3 классе – 1,5 ч., в 4–5 классах – 2 ч., в 6–8 классах – 2,5 ч., в 9–12 классах – до 3,5 ч.»;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199 цифры «11» заменить цифрами «12»;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приложение 1 к Санитарно-эпидемиологическим правилам и нормативам «Санитарно-эпидемиологические требования к условиям и организации обучения в общеобразовательных организациях»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Гигиенические рекомендации к расписанию уроков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Современными научными исследованиями установлено, что биоритмический оптимум умственной работоспособности у детей школьного возраста приходится на интервал 10–12 часов. В эти часы отмечается наибольшая эффективность усвоения материала при наименьших психофизиологических затратах организма.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расписании уроков для обучающихся 1 уровня образования основные предметы должны проводиться на 2–3-х уроках, а для учащихся 2, 3 уровней образования – на 2, 3, 4-х уроках.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Распределение учебной нагрузки в течение недели должно строиться таким образом, чтобы наибольший ее объем приходился на вторник и (или) среду. На эти дни в школьное расписание должны включаться либо наиболее трудные предметы, либо средние и легкие по трудности предметы, но в большем количестве, чем в остальные дни недели. Изложение нового материала, контрольные работы следует проводить на 2–4 уроках в середине учебной недели.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Предметы, требующие больших затрат времени на домашнюю подготовку, не должны группироваться в один день.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Занятия физической культурой предусматриваются в числе последних уроков. После уроков физкультуры не проводятся уроки с письменными заданиями и контрольные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При составлении расписания уроков для обучающихся начальных, основных и старших классов применяется шкала трудности предметов согласно таблицам 2–4 настоящего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Гигиенические требования к максимальным величинам недельной образовательной нагрузки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7"/>
        <w:gridCol w:w="4441"/>
        <w:gridCol w:w="4441"/>
      </w:tblGrid>
      <w:tr>
        <w:tc>
          <w:tcPr>
            <w:tcW w:type="dxa" w:w="12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88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допустимая недельная нагрузка в академических часах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6-дневной неделе, не более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5-дневной неделе, не более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2–4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8–9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10–12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Шкала трудности предметов для 1–6 классов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2"/>
        <w:gridCol w:w="1749"/>
        <w:gridCol w:w="1749"/>
        <w:gridCol w:w="1749"/>
      </w:tblGrid>
      <w:tr>
        <w:tc>
          <w:tcPr>
            <w:tcW w:type="dxa" w:w="4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предметы</w:t>
            </w:r>
          </w:p>
        </w:tc>
        <w:tc>
          <w:tcPr>
            <w:tcW w:type="dxa" w:w="52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(ранг трудности)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1–4 класса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класс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класс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Природоведение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Граждановедение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(русская) литература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 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(труд, черчение и дизайн)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безопасности жизнедеятельности (ОБЖ)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Шкала трудности предметов, изучаемых в 7–9 классах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2"/>
        <w:gridCol w:w="1825"/>
        <w:gridCol w:w="1825"/>
        <w:gridCol w:w="1825"/>
      </w:tblGrid>
      <w:tr>
        <w:tc>
          <w:tcPr>
            <w:tcW w:type="dxa" w:w="47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предметы</w:t>
            </w:r>
          </w:p>
        </w:tc>
        <w:tc>
          <w:tcPr>
            <w:tcW w:type="dxa" w:w="54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(ранг трудности)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класс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класс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класс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Геометрия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Алгебра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Граждановедение, обществознание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(труд, черчение и дизайн)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безопасность жизни (ОБЖ)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Шкала трудности предметов, изучаемых в 10–12 классах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8"/>
        <w:gridCol w:w="4010"/>
      </w:tblGrid>
      <w:tr>
        <w:tc>
          <w:tcPr>
            <w:tcW w:type="dxa" w:w="61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предметы</w:t>
            </w:r>
          </w:p>
        </w:tc>
        <w:tc>
          <w:tcPr>
            <w:tcW w:type="dxa" w:w="4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(ранг трудности)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Геометрия, химия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Алгебра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Литература, иностранный язык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История, обществознание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Астрономия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География, экология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</w:t>
      </w:r>
      <w:r>
        <w:rPr>
          <w:rFonts w:ascii="Arial" w:cs="Arial" w:eastAsia="Arial" w:hAnsi="Arial"/>
          <w:sz w:val="24"/>
          <w:szCs w:val="24"/>
        </w:rPr>
        <w:t xml:space="preserve">становление</w:t>
      </w:r>
      <w:r>
        <w:rPr>
          <w:rFonts w:ascii="Arial" w:cs="Arial" w:eastAsia="Arial" w:hAnsi="Arial"/>
          <w:sz w:val="24"/>
          <w:szCs w:val="24"/>
        </w:rPr>
        <w:t xml:space="preserve">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августа 2025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r7eijf3tqjr_a3niird" Type="http://schemas.openxmlformats.org/officeDocument/2006/relationships/hyperlink" Target="http://kodeks.duckdns.org/document/98479" TargetMode="External"/><Relationship Id="rIdz30f1u5qvgeo8jzbllylt" Type="http://schemas.openxmlformats.org/officeDocument/2006/relationships/hyperlink" Target="http://kodeks.duckdns.org/document/1194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2026-09-23T09:29:08.206Z</dcterms:created>
  <dcterms:modified xsi:type="dcterms:W3CDTF">2026-09-23T09:29:08.206Z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