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2025 года № 503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административных процедур в сфере управления государственным имуществом, в соответствии со статьями </w:t>
      </w:r>
      <w:hyperlink w:history="1" r:id="rIdj36pypq58-7oylzr_w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jhw6i6x479w3t4tq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bsbmxkvaif_bgqw30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 условиях передачи государственного имущества в управление с последующим выкупом» от 12 сентября 2002 года № 624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hqlhf7_qttttb9elu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государственного имущества в управление с последующим выкупом,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 могут быть представлены в цифровом формате посредством электронной почты или иных средств связи, в том числе при возможности получения таких документов от других государственных органов и органов местного самоуправления, посредством системы электронного взаимодействия «Тундук».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заверенные в установленном порядке копии учредительных документов;»;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«нотариально заверенная»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«нотариально заверенная»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5kzfg7iiiwru1tmqa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приватизацию государственной собственности» от 26 марта 2003 года № 168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yyzliig1mav__uvi5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19 слова «нотариально заверенную»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Документы могут быть представлены в цифровом формате посредством электронной почты или иных средств связи, в том числе при возможности получения таких документов от других государственных органов и органов местного самоуправления через систему электронного взаимодействия «Тундук».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к вышеуказанному Положению изложить в редакции согласно </w:t>
      </w:r>
      <w:hyperlink w:history="1" r:id="rIdi3428ozzdd9ijytxg6m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eu02rkqsytby-llhy_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приватизацию государственного имущества методами продажи на аукционе и аренды с последующим выкупом» от 13 августа 2005 года № 370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nbwu8gbpdl2s06i2y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аренды с последующим выкупом,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 могут быть представлены в цифровом формате посредством электронной почты или иных средств связи, в том числе при возможности получения таких документов от других государственных органов и органов местного самоуправления через систему электронного взаимодействия «Тундук». Порядок предоставления цифровых и оцифрованных документов определяется уполномоченным государственным органом по приватизации и управлению государственным имуществом.»;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1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заверенные в установленном порядке копии учредительных документов;»;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«нотариально заверенная»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ihvmxcc5th2yec2yv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frpw96mxctnfvxsvso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Для участия в аукционе заявитель в установленный в информационном сообщении срок представляет в уполномоченный государственный орган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участие в аукционе на право заключения договора аренды земельного участка, находящегося в государственной собственности, по форме согласно приложению 2 к настоящему Положению;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 об оплате гарантийного взноса;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градостроительно-архитектурная документация, в случае предоставления земельного участка для проектирования, строительства зданий, сооружений, направленных на развитие железнодорожной отрасли, и их эксплуатации;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физических лиц – копия паспорта гражданина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юридических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устава и учредительного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 на имя представителя, которая уполномочивает его выступать от имени юридического лица и совершать соответствующие сделки;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если заявление подано руководителем (единоличным исполнительным органом) юридического лица, требуется документ, предоставляющий право руководителю на заключение договора аренды, а также документ, удостоверяющий его должностное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если юридическое лицо управляется выборным коллегиальным исполнительным органом, и требуется документ о согласии данного органа на заключение договора аренды – надлежащее решение, подтверждающее согласие органа на заключение договора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документа, удостоверяющего личность представителя (оригинал предъявляется лично при регистрации для участия в аукционе);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 уполномоченного налогового органа об отсутствии задолженности за текущий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могут быть представлены в цифровом формате либо, при возможности получения таких документов от других государственных органов и органов местного самоуправления, посредством системы электронного взаимодействия «Тундук», а также через единую информационную систему нотариата. Порядок предоставления цифровых и оцифрованных документов определяется уполномоченным государственным органом.».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22 августа 2025 года № 63 (3719)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приватизации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методом продажи на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</w:t>
      </w:r>
      <w:r>
        <w:rPr>
          <w:rFonts w:ascii="Arial" w:cs="Arial" w:eastAsia="Arial" w:hAnsi="Arial"/>
          <w:sz w:val="24"/>
          <w:szCs w:val="24"/>
        </w:rPr>
        <w:t xml:space="preserve">по подготовке и</w:t>
      </w:r>
      <w:r>
        <w:rPr>
          <w:rFonts w:ascii="Arial" w:cs="Arial" w:eastAsia="Arial" w:hAnsi="Arial"/>
          <w:sz w:val="24"/>
          <w:szCs w:val="24"/>
        </w:rPr>
        <w:t xml:space="preserve">проведению</w:t>
      </w:r>
      <w:r>
        <w:rPr>
          <w:rFonts w:ascii="Arial" w:cs="Arial" w:eastAsia="Arial" w:hAnsi="Arial"/>
          <w:sz w:val="24"/>
          <w:szCs w:val="24"/>
        </w:rPr>
        <w:t xml:space="preserve">коммерческого или</w:t>
      </w:r>
      <w:r>
        <w:rPr>
          <w:rFonts w:ascii="Arial" w:cs="Arial" w:eastAsia="Arial" w:hAnsi="Arial"/>
          <w:sz w:val="24"/>
          <w:szCs w:val="24"/>
        </w:rPr>
        <w:t xml:space="preserve">инвестиционного</w:t>
      </w:r>
      <w:r>
        <w:rPr>
          <w:rFonts w:ascii="Arial" w:cs="Arial" w:eastAsia="Arial" w:hAnsi="Arial"/>
          <w:sz w:val="24"/>
          <w:szCs w:val="24"/>
        </w:rPr>
        <w:t xml:space="preserve">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«___» ______ 20___ г.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заявка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участие в коммерческом или инвестиционном конкурсе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 руководителя)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(юридический адрес, телефон, р/с МФО)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(паспортные данные, место прописки)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далее Претендент, в лице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на основании 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решение об участии в коммерческом или инвестиционном конкурсе по продаже находящихся в государственной собственности объектов приватизации: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акций в количестве ________ штук, что составляет _____ % государственной доли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капитала АО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акционерного общества, его юридический адрес)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иного имущества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____________________________________________________________,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имущества, его основные характеристики и местонахождение)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условия конкурса, содержащиеся в информационном сообщении о проведении конкурса по продаже объектов приватизации, а также порядок проведения конкурса, установленный Положением об условиях и порядке приватизации государственного имущества методом продажи на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 себя определенные условиями конкурса обязательства в отношении объекта приватизации;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победителем конкурса заключить с Продавцом договор купли-продажи в срок не позднее 10 дней с даты утверждения протокола об итогах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уплатить Продавцу стоимость имущества, установленную по результатам конкурса, в сроки, определяемые договором купли-продажи;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уплатить Продавцу необходимые платежи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заверенные в установленном порядке копии учредительных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налоговой инспекции, подтверждающая отсутствие у претендента просроченной задолженности по налоговым платежам в бюджеты всех уровней по состоянию на последний квартал, предшествующий дате подачи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о государственной регистрации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свидетельства государственного органа по рынку ценных бумаг о регистрации ценных бумаг (для акционерных обществ);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 – паспорт (предъявляется лично претендентом при подаче заявки).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Претендента (его уполномоченного представителя)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6j9h_dpchhaarfgqq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dalil.kg/document/230030337</w:t>
      </w:r>
    </w:hyperlink>
  </w:p>
  <w:p>
    <w:pPr>
      <w:spacing w:after="0" w:before="40"/>
      <w:jc w:val="center"/>
    </w:pPr>
    <w:hyperlink w:history="1" r:id="rIdfzgetoerfqhmnaa0pvz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6pypq58-7oylzr_wpbu" Type="http://schemas.openxmlformats.org/officeDocument/2006/relationships/hyperlink" Target="https://dalil.kg/document/112301#st_13" TargetMode="External"/><Relationship Id="rIdtdjhw6i6x479w3t4tqply" Type="http://schemas.openxmlformats.org/officeDocument/2006/relationships/hyperlink" Target="https://dalil.kg/document/112301#st_17" TargetMode="External"/><Relationship Id="rId2bsbmxkvaif_bgqw30quu" Type="http://schemas.openxmlformats.org/officeDocument/2006/relationships/hyperlink" Target="https://dalil.kg/document/53821" TargetMode="External"/><Relationship Id="rIdmhqlhf7_qttttb9elutqd" Type="http://schemas.openxmlformats.org/officeDocument/2006/relationships/hyperlink" Target="https://dalil.kg/document/53824" TargetMode="External"/><Relationship Id="rIdb5kzfg7iiiwru1tmqamcn" Type="http://schemas.openxmlformats.org/officeDocument/2006/relationships/hyperlink" Target="https://dalil.kg/document/54307" TargetMode="External"/><Relationship Id="rId2yyzliig1mav__uvi5plh" Type="http://schemas.openxmlformats.org/officeDocument/2006/relationships/hyperlink" Target="https://dalil.kg/document/46793" TargetMode="External"/><Relationship Id="rIdi3428ozzdd9ijytxg6m8s" Type="http://schemas.openxmlformats.org/officeDocument/2006/relationships/hyperlink" Target="https://dalil.kg/document/230030337#pr" TargetMode="External"/><Relationship Id="rIdeu02rkqsytby-llhy_mvi" Type="http://schemas.openxmlformats.org/officeDocument/2006/relationships/hyperlink" Target="https://dalil.kg/document/56515" TargetMode="External"/><Relationship Id="rIdmnbwu8gbpdl2s06i2yibx" Type="http://schemas.openxmlformats.org/officeDocument/2006/relationships/hyperlink" Target="https://dalil.kg/document/56524" TargetMode="External"/><Relationship Id="rIdtihvmxcc5th2yec2yvhlv" Type="http://schemas.openxmlformats.org/officeDocument/2006/relationships/hyperlink" Target="https://dalil.kg/document/157146" TargetMode="External"/><Relationship Id="rIdufrpw96mxctnfvxsvsoj5" Type="http://schemas.openxmlformats.org/officeDocument/2006/relationships/hyperlink" Target="https://dalil.kg/document/15714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6j9h_dpchhaarfgqq9c" Type="http://schemas.openxmlformats.org/officeDocument/2006/relationships/hyperlink" Target="https://dalil.kg/document/230030337" TargetMode="External"/><Relationship Id="rIdfzgetoerfqhmnaa0pvz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2026-09-23T18:32:14.353Z</dcterms:created>
  <dcterms:modified xsi:type="dcterms:W3CDTF">2026-09-23T18:32:14.353Z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