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 сентября 2025 года № 544</w:t>
      </w:r>
    </w:p>
    <w:p>
      <w:pPr>
        <w:spacing w:after="200" w:before="20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Программы развития зеленой экономики в Кыргызской Республике до 2029 года</w:t>
      </w:r>
    </w:p>
    <w:p>
      <w:pPr>
        <w:spacing w:after="120"/>
        <w:jc w:val="both"/>
      </w:pPr>
      <w:r>
        <w:rPr>
          <w:rFonts w:ascii="Arial" w:cs="Arial" w:eastAsia="Arial" w:hAnsi="Arial"/>
          <w:sz w:val="24"/>
          <w:szCs w:val="24"/>
        </w:rPr>
        <w:t xml:space="preserve">В целях наращивания институционализации принципов зеленой экономики и имплементации зеленых интервенций на макро- и микроуровнях по приоритетным секторам экономики Кыргызской Республики, в соответствии со статьями </w:t>
      </w:r>
      <w:hyperlink w:history="1" r:id="rId34e4v2bb1bouodfa5txa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umpgsvnkh6odp4-2vdb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w:t>
      </w:r>
      <w:hyperlink w:history="1" r:id="rIdfpdczm70fgn63hag_xnqq">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зеленой экономики в Кыргызской Республике до 2029 года согласно приложению 1;</w:t>
      </w:r>
    </w:p>
    <w:p>
      <w:pPr>
        <w:spacing w:after="120"/>
        <w:jc w:val="both"/>
      </w:pPr>
      <w:r>
        <w:rPr>
          <w:rFonts w:ascii="Arial" w:cs="Arial" w:eastAsia="Arial" w:hAnsi="Arial"/>
          <w:sz w:val="24"/>
          <w:szCs w:val="24"/>
        </w:rPr>
        <w:t xml:space="preserve">– </w:t>
      </w:r>
      <w:hyperlink w:history="1" r:id="rIdfuaemlftenpm4w-6pspaw">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развития зеленой экономики в Кыргызской Республике до 2029 года (далее – План мероприятий) согласно приложению 2;</w:t>
      </w:r>
    </w:p>
    <w:p>
      <w:pPr>
        <w:spacing w:after="120"/>
        <w:jc w:val="both"/>
      </w:pPr>
      <w:r>
        <w:rPr>
          <w:rFonts w:ascii="Arial" w:cs="Arial" w:eastAsia="Arial" w:hAnsi="Arial"/>
          <w:sz w:val="24"/>
          <w:szCs w:val="24"/>
        </w:rPr>
        <w:t xml:space="preserve">– </w:t>
      </w:r>
      <w:hyperlink w:history="1" r:id="rId5is6bqcatjyrehovsprdb">
        <w:r>
          <w:rPr>
            <w:rFonts w:ascii="Arial" w:cs="Arial" w:eastAsia="Arial" w:hAnsi="Arial"/>
            <w:color w:val="1D4ED8"/>
            <w:sz w:val="24"/>
            <w:szCs w:val="24"/>
            <w:u w:val="single"/>
          </w:rPr>
          <w:t xml:space="preserve">матрицу</w:t>
        </w:r>
      </w:hyperlink>
      <w:r>
        <w:rPr>
          <w:rFonts w:ascii="Arial" w:cs="Arial" w:eastAsia="Arial" w:hAnsi="Arial"/>
          <w:sz w:val="24"/>
          <w:szCs w:val="24"/>
        </w:rPr>
        <w:t xml:space="preserve"> индикаторов Программы развития зеленой экономики в Кыргызской Республике до 2029 года согласно приложению 3;</w:t>
      </w:r>
    </w:p>
    <w:p>
      <w:pPr>
        <w:spacing w:after="120"/>
        <w:jc w:val="both"/>
      </w:pPr>
      <w:r>
        <w:rPr>
          <w:rFonts w:ascii="Arial" w:cs="Arial" w:eastAsia="Arial" w:hAnsi="Arial"/>
          <w:sz w:val="24"/>
          <w:szCs w:val="24"/>
        </w:rPr>
        <w:t xml:space="preserve">– </w:t>
      </w:r>
      <w:hyperlink w:history="1" r:id="rIdwviexloepgmt-4zpujgyy">
        <w:r>
          <w:rPr>
            <w:rFonts w:ascii="Arial" w:cs="Arial" w:eastAsia="Arial" w:hAnsi="Arial"/>
            <w:color w:val="1D4ED8"/>
            <w:sz w:val="24"/>
            <w:szCs w:val="24"/>
            <w:u w:val="single"/>
          </w:rPr>
          <w:t xml:space="preserve">оценку ресурсной стоимости</w:t>
        </w:r>
      </w:hyperlink>
      <w:r>
        <w:rPr>
          <w:rFonts w:ascii="Arial" w:cs="Arial" w:eastAsia="Arial" w:hAnsi="Arial"/>
          <w:sz w:val="24"/>
          <w:szCs w:val="24"/>
        </w:rPr>
        <w:t xml:space="preserve"> Программы развития зеленой экономики в Кыргызской Республике до 2029 года согласно приложению 4.</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полномочным представителям Президента Кыргызской Республики в областях, органам местного самоуправления (по согласованию) и организациям (по согласованию), задействованным в реализации Плана мероприятий:</w:t>
      </w:r>
    </w:p>
    <w:p>
      <w:pPr>
        <w:spacing w:after="120"/>
        <w:jc w:val="both"/>
      </w:pPr>
      <w:r>
        <w:rPr>
          <w:rFonts w:ascii="Arial" w:cs="Arial" w:eastAsia="Arial" w:hAnsi="Arial"/>
          <w:sz w:val="24"/>
          <w:szCs w:val="24"/>
        </w:rPr>
        <w:t xml:space="preserve">– обеспечить качественное и своевременное исполнение Плана мероприятий и достижение индикаторов Программы развития зеленой экономики в Кыргызской Республике до 2029 года;</w:t>
      </w:r>
    </w:p>
    <w:p>
      <w:pPr>
        <w:spacing w:after="120"/>
        <w:jc w:val="both"/>
      </w:pPr>
      <w:r>
        <w:rPr>
          <w:rFonts w:ascii="Arial" w:cs="Arial" w:eastAsia="Arial" w:hAnsi="Arial"/>
          <w:sz w:val="24"/>
          <w:szCs w:val="24"/>
        </w:rPr>
        <w:t xml:space="preserve">– ежеквартально, не позднее 5 числа месяца, следующего за отчетным периодом, представлять информацию о выполнении Плана мероприятий в Министерство экономики и коммерции Кыргызской Республики.</w:t>
      </w:r>
    </w:p>
    <w:p>
      <w:pPr>
        <w:spacing w:after="120"/>
        <w:jc w:val="both"/>
      </w:pPr>
      <w:r>
        <w:rPr>
          <w:rFonts w:ascii="Arial" w:cs="Arial" w:eastAsia="Arial" w:hAnsi="Arial"/>
          <w:sz w:val="24"/>
          <w:szCs w:val="24"/>
        </w:rPr>
        <w:t xml:space="preserve">3. Министерству экономики и коммерции Кыргызской Республики ежеквартально, не позднее 15 числа месяца, следующего за отчетным периодом, представлять в Администрацию Президента Кыргызской Республики информацию о ходе выполнения Плана мероприятий.</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Плана мероприятий.</w:t>
      </w:r>
    </w:p>
    <w:p>
      <w:pPr>
        <w:spacing w:after="120"/>
        <w:jc w:val="both"/>
      </w:pPr>
      <w:r>
        <w:rPr>
          <w:rFonts w:ascii="Arial" w:cs="Arial" w:eastAsia="Arial" w:hAnsi="Arial"/>
          <w:sz w:val="24"/>
          <w:szCs w:val="24"/>
        </w:rPr>
        <w:t xml:space="preserve">5. Определить, что изменения в структуре Кабинета Министров Кыргызской Республики не снимают ответственности в отчетности по курируемым направлениям.</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2sntsc-shmrbw-0gtww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«зеленой» экономики в Кыргызской Республике на 2019–2023 годы» от 14 ноября 2019 года № 605;</w:t>
      </w:r>
    </w:p>
    <w:p>
      <w:pPr>
        <w:spacing w:after="120"/>
        <w:jc w:val="both"/>
      </w:pPr>
      <w:r>
        <w:rPr>
          <w:rFonts w:ascii="Arial" w:cs="Arial" w:eastAsia="Arial" w:hAnsi="Arial"/>
          <w:sz w:val="24"/>
          <w:szCs w:val="24"/>
        </w:rPr>
        <w:t xml:space="preserve">– </w:t>
      </w:r>
      <w:hyperlink w:history="1" r:id="rIduqww2op2bf7ycvfgksp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kwqeuzyztkuveg3zxmj9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«зеленой» экономики в Кыргызской Республике на 2019–2023 годы» от 14 ноября 2019 года № 605» от 24 июня 2022 года № 349.</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сентября 2025 года № 66 (3722)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
        <w:gridCol w:w="1628"/>
        <w:gridCol w:w="2335"/>
        <w:gridCol w:w="954"/>
        <w:gridCol w:w="2335"/>
        <w:gridCol w:w="1332"/>
        <w:gridCol w:w="1299"/>
      </w:tblGrid>
      <w:tr>
        <w:tc>
          <w:tcPr>
            <w:tcW w:type="dxa" w:w="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2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Меры/действия</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2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13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2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Естественные экосистемы и биоразнообразие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экологической политики по вопросам сохранения экосистем и биоразнообразия в контексте устойчивого развития и изменения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Разработать и принять Национальную стратегию и план действий по сохранению биоразнообразия на 2025</w:t>
            </w:r>
            <w:r>
              <w:rPr>
                <w:rFonts w:ascii="Arial" w:cs="Arial" w:eastAsia="Arial" w:hAnsi="Arial"/>
                <w:sz w:val="24"/>
                <w:szCs w:val="24"/>
              </w:rPr>
              <w:t xml:space="preserve">-</w:t>
            </w:r>
            <w:r>
              <w:rPr>
                <w:rFonts w:ascii="Arial" w:cs="Arial" w:eastAsia="Arial" w:hAnsi="Arial"/>
                <w:sz w:val="24"/>
                <w:szCs w:val="24"/>
              </w:rPr>
              <w:t xml:space="preserve">2030 годы, в соответствии с Куньминско-Монреальской программой действий, с учетом гендерных аспектов. Интегрировать требования всех международных документов по биоразнообразию, стороной которых является Кыргызская Республика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Национальная стратегия и план действий по сохранению биоразнообразия на 2025</w:t>
            </w:r>
            <w:r>
              <w:rPr>
                <w:rFonts w:ascii="Arial" w:cs="Arial" w:eastAsia="Arial" w:hAnsi="Arial"/>
                <w:sz w:val="24"/>
                <w:szCs w:val="24"/>
              </w:rPr>
              <w:t xml:space="preserve">-</w:t>
            </w:r>
            <w:r>
              <w:rPr>
                <w:rFonts w:ascii="Arial" w:cs="Arial" w:eastAsia="Arial" w:hAnsi="Arial"/>
                <w:sz w:val="24"/>
                <w:szCs w:val="24"/>
              </w:rPr>
              <w:t xml:space="preserve">2030 годы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МВСХПП,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Подготовить аналитическую справку-обоснование присоединения Кыргызской Республики к Нагойя-Куала-Лумпурскому дополнительному протоколу об ответственности и возмещении ущерба (с учетом положительного решения разработать дальнейшие меры)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документ по итогам широкого обсуждения с министерствами, ведомствами и общественностью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МИД, МВСХПП, НАН,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(ФАО)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Разработать Национальный адаптационный план к изменению климата сектора "Лес и биоразнообразие" с учетом гендерных аспектов и интересов уязвимых групп</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Национальный адаптационный план к изменению климата сектора "Лес и биоразнообразие" с соответствующими решениями государственных органов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Разработать проект для утверждения нормативного правового акта о защите зеленых насаждений населенных пунктов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 о защите зеленых насаждений населенных пунктов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Разработать и принять Стратегию достижения углеродной нейтральности до 2050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стратегия достижения углеродной нейтральности до 2050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Внести изменения в законодательство о государственном частном партнерстве с тем, чтобы начать применять данный механизм на землях ГЛФ 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законодательные механизмы для внедрения ГЧП на землях ГЛФ 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Разработать и утвердить Положение о государственном мониторинге окружающей среды (ОС), которое определит порядок осуществления, организации и функционирования единой системы государственного мониторинга ОС, порядок создания и эксплуатации государственного фонда данных государственного мониторинга ОС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на уровне НПА Положение о государственном мониторинге окружающей среды (ОС)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НСК (по согласованию),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Провести оценку и утвердить перечень приоритетных тем долгосрочных программ государственного мониторинга и исследований в области биоразнообразия, уделяя особое внимание редким и исчезающим видам, природным экосистемам, местообитаниям, растительным сообществам и инвазивным чужеродным видам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приоритетных тем долгосрочных программ государственного мониторинга и исследований в области биоразнообразия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 Создать и обеспечить функционирование национальной информационной системы по биоразнообразию для сбора, хранения и обмена результатами исследовательских программ и проектов по мониторингу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информационная система по биоразнообразию функционирует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 Провести оценку эффективности реализации Положения о порядке использования земель государственных природных парков Кыргызской Республики от 5 октября 2015 года № 677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заключение/аналитическая справка об оценке эффективности реализации Положения и проект по внесению изменений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природного капитала в ООПТ</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Провести обучение ОМСУ и оказать поддержку по созданию ООПТ местного значения и микрозаповедников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сотрудники органов местного самоуправления, представляющих как минимум 150 ОМСУ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 НАН,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Создать ООПТ местного значения и микрозаповедники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20 микрозаповедников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Ввести мораторий на сокращение площадей заповедников и ООПТ других категорий и снижение категории защитности ООПТ (ГПП, ГПЗ) на 20 лет, а также на изменение конфигурации зонирования больших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Разработать проект Положения о компенсационном механизме, основанном на наилучших международных практиках, при разрушении экосистем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проект Положения о компенсационном механизме при разрушении экосистемы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Провести инвентаризацию существующих заказников, включающую проверку учредительной документации, оценку состояния территорий и биоразнообразия, уточнения внешних границ и анализ эффективности 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заказников с соответствующими первичными документами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областях, НАН, МЧС, Кадастр и Госкартография</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 Разработать инструкцию по управлению госзаказниками Кыргызской Республики, дифференцирующую подходы к управлению в зависимости от типа заказника и категории землепользователей, с целью обеспечения эффективной охраны биоразнообразия и устойчивого использования природных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НПА по управлению госзаказниками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Разработать государственный кадастр особо охраняемых природных территорий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государственный кадастр особо охраняемых природных территорий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МЧС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 Актуализировать ГИС-карты по всем ООПТ с учетом их зонирования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зонирования разработаны для каждого ООПТ, используются как механизм управления туристической и иной деятельностью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Повысить потенциал сотрудников ООПТ по применению Методики оценки природоохранной эффективности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курсы повышения квалификации для сотрудников ООПТ, которые прошли как минимум 300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 Повысить потенциал представителей общественных организаций и жааматов (в том числе женщин) из всех регионов для проведения общественного мониторинга биоразнообразия и лесов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как минимум 250 человек из всех регионов (не менее 30%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Разработать и пилотировать механизмы использования альтернативных источников доходов ООПТ, позволяющих повысить эффективность работы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для 3 альтернативных источников доходов ООПТ.</w:t>
            </w:r>
            <w:r>
              <w:rPr>
                <w:rFonts w:ascii="Arial" w:cs="Arial" w:eastAsia="Arial" w:hAnsi="Arial"/>
                <w:sz w:val="24"/>
                <w:szCs w:val="24"/>
              </w:rPr>
              <w:t xml:space="preserve">Пилотирование альтернативных источников доходов в 3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партнеры по развитию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доноров и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Разработать и принять Порядок управления отходами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управления отходами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 Закрепить механизмы эффективного управления ООПТ, в том числе стратегического планирования и бюджетирования, ориентированного на результат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обновляемые планы управления 23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Повысить эффективность мониторинга и сохранения биоразнообразия в ООПТ через внедрение инновационных инструментов (таких как система SMART) и оснащение егерей современными технологиями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ООПТ применяют инновационные технологии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и устойчивое использование лесных экосистем и видового разнообразия в условиях изменения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Посадить лесные культуры с целью лесовосстановления и лесоразведения и содействия естественному возобновлению леса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r>
              <w:rPr>
                <w:rFonts w:ascii="Arial" w:cs="Arial" w:eastAsia="Arial" w:hAnsi="Arial"/>
                <w:sz w:val="24"/>
                <w:szCs w:val="24"/>
              </w:rPr>
              <w:t xml:space="preserve">-</w:t>
            </w:r>
            <w:r>
              <w:rPr>
                <w:rFonts w:ascii="Arial" w:cs="Arial" w:eastAsia="Arial" w:hAnsi="Arial"/>
                <w:sz w:val="24"/>
                <w:szCs w:val="24"/>
              </w:rPr>
              <w:t xml:space="preserve">202</w:t>
            </w:r>
            <w:r>
              <w:rPr>
                <w:rFonts w:ascii="Arial" w:cs="Arial" w:eastAsia="Arial" w:hAnsi="Arial"/>
                <w:sz w:val="24"/>
                <w:szCs w:val="24"/>
              </w:rPr>
              <w:t xml:space="preserve">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созданных лесных культур 3,4 тыс. га.</w:t>
            </w:r>
            <w:r>
              <w:rPr>
                <w:rFonts w:ascii="Arial" w:cs="Arial" w:eastAsia="Arial" w:hAnsi="Arial"/>
                <w:sz w:val="24"/>
                <w:szCs w:val="24"/>
              </w:rPr>
              <w:t xml:space="preserve">Площадь содействия естественному возобновлению 8,0 тыс. га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Провести анализ эффективности использования земель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и обнародован аналитический документ/Исследование по </w:t>
            </w:r>
            <w:r>
              <w:rPr>
                <w:rFonts w:ascii="Arial" w:cs="Arial" w:eastAsia="Arial" w:hAnsi="Arial"/>
                <w:sz w:val="24"/>
                <w:szCs w:val="24"/>
              </w:rPr>
              <w:t xml:space="preserve">эффективности использования земель ГЛФ</w:t>
            </w:r>
            <w:r>
              <w:rPr>
                <w:rFonts w:ascii="Arial" w:cs="Arial" w:eastAsia="Arial" w:hAnsi="Arial"/>
                <w:sz w:val="24"/>
                <w:szCs w:val="24"/>
              </w:rPr>
              <w:t xml:space="preserve"> (3 лесхоза)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3.3. Внедрить концепцию лесов высокой природоохранной ценности в систему управления лесами путем зонирования лесов по категориям ЛВПЦ и внедрения режимов пользования ЛВПЦ в планы управления лесхозов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лесхозов разработали свои планы управления ЛВПЦ</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НАН, Институт леса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инвесторы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Провести инвентаризацию и картирование деградированных земель, необлесенных и низкопродуктивных земель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доступна на сайте Лесной службы при МЧС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Разработать меры восстановления фисташки, миндаля, грецкого ореха местных сортов на территории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внесены в План действий развития лесной отрасли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Вырастить саженцы многолетних видов, в том числе декоративных растений для озеленения населенных пунктов. Заключить договоры о реализации посадочного материала (</w:t>
            </w:r>
            <w:r>
              <w:rPr>
                <w:rFonts w:ascii="Arial" w:cs="Arial" w:eastAsia="Arial" w:hAnsi="Arial"/>
                <w:sz w:val="24"/>
                <w:szCs w:val="24"/>
              </w:rPr>
              <w:t xml:space="preserve">местных сортов) в соответствии с установленными тарифами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обеспечение посадочным материалом городов и населенных пунктов в количестве 700000 шт.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Разработать типовые договоры между лесхозами и ОМСУ по формированию заказа, реализации и замене саженцев в случае необходимости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утвержден, ОМСУ проинформированы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мэрии городов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Расширить объем и номенклатуру производства биологических препаратов и энтомофагов и обрабатываемые ими площади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объем обрабатываемых биопестицидами площадей от 60 тыс. га в год.</w:t>
            </w:r>
            <w:r>
              <w:rPr>
                <w:rFonts w:ascii="Arial" w:cs="Arial" w:eastAsia="Arial" w:hAnsi="Arial"/>
                <w:sz w:val="24"/>
                <w:szCs w:val="24"/>
              </w:rPr>
              <w:t xml:space="preserve">Опубликован каталог биопестицидов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НАН, МЧС (Лесная служба),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 Повысить потенциал специалистов лесхозов и ООПТ в сфере защиты леса от вредителей и болезней, охраны леса от пожаров, лесоразведения, лесовосстановления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 лесхозов - 500 чел. (не менее 10%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 Разработать и разместить в открытом доступе график территории по введению моратория на добычу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утвержден НПА и размещен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 Организовать "зоны сохранения видов диких животных, воспроизводственных участков, экологических коридоров" и механизмы управления ими - для связывания ООПТ в сеть в целях снижения давления сельского хозяйства на популяции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МВРГ, разработаны межведомственные решения.</w:t>
            </w:r>
            <w:r>
              <w:rPr>
                <w:rFonts w:ascii="Arial" w:cs="Arial" w:eastAsia="Arial" w:hAnsi="Arial"/>
                <w:sz w:val="24"/>
                <w:szCs w:val="24"/>
              </w:rPr>
              <w:t xml:space="preserve">Организованы "зоны сохранения видов диких животных, воспроизводственных участков, экологических коридоров" на территориях не менее 50 тыс. га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w:t>
            </w:r>
            <w:r>
              <w:rPr>
                <w:rFonts w:ascii="Arial" w:cs="Arial" w:eastAsia="Arial" w:hAnsi="Arial"/>
                <w:sz w:val="24"/>
                <w:szCs w:val="24"/>
              </w:rPr>
              <w:t xml:space="preserve">МВСХПП</w:t>
            </w:r>
            <w:r>
              <w:rPr>
                <w:rFonts w:ascii="Arial" w:cs="Arial" w:eastAsia="Arial" w:hAnsi="Arial"/>
                <w:sz w:val="24"/>
                <w:szCs w:val="24"/>
              </w:rPr>
              <w:t xml:space="preserve">,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 Внести в нормативную базу запрет на хранение дериватов животных, занесенных в Красную книгу, местного происхождения и видов СИТЕС (кроме разрешенных к добыче)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соответствующего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 Провести широкую информационную кампанию среди населения по снижению браконьерства, с учетом особенностей и специфики восприятия проблемы такими целевыми группами, как женщины и молодежь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каждом районе проведены информационные встречи, выпущено 2 информационных ролика, проведена кампания в социальных сетях совместно с молодыми блогерами и журналистами.</w:t>
            </w:r>
            <w:r>
              <w:rPr>
                <w:rFonts w:ascii="Arial" w:cs="Arial" w:eastAsia="Arial" w:hAnsi="Arial"/>
                <w:sz w:val="24"/>
                <w:szCs w:val="24"/>
              </w:rPr>
              <w:t xml:space="preserve">Выпускается как минимум один информационный материал в квартал</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 Провести полевые изыскания по сбору информации для обновления/переиздания Красной книги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Обновлена и переиздана Красная книга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партнеры по развитию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 Разработать правила и нормативы содержания диких животных в неволе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 Разработать процедуру регистрации и контроля питомников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деградированных земель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Разработать и утвердить Программу по поэтапному восстановлению деградированных земель в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проект Программы по поэтапному восстановлению деградированных земель 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Разработать раздел Плана по развитию лесной отрасли по восстановлению пойменных лесов с определением минимальных выделов в каждом районе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План по развитию лесной отрасли включен раздел по восстановлению пойменных лесов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w:t>
            </w:r>
            <w:r>
              <w:rPr>
                <w:rFonts w:ascii="Arial" w:cs="Arial" w:eastAsia="Arial" w:hAnsi="Arial"/>
                <w:sz w:val="24"/>
                <w:szCs w:val="24"/>
              </w:rPr>
              <w:t xml:space="preserve">МВСХПП </w:t>
            </w:r>
            <w:r>
              <w:rPr>
                <w:rFonts w:ascii="Arial" w:cs="Arial" w:eastAsia="Arial" w:hAnsi="Arial"/>
                <w:sz w:val="24"/>
                <w:szCs w:val="24"/>
              </w:rPr>
              <w:t xml:space="preserve">(Служба водных ресурсов), МПРЭТН, ОМСУ </w:t>
            </w:r>
            <w:r>
              <w:rPr>
                <w:rFonts w:ascii="Arial" w:cs="Arial" w:eastAsia="Arial" w:hAnsi="Arial"/>
                <w:sz w:val="24"/>
                <w:szCs w:val="24"/>
              </w:rPr>
              <w:t xml:space="preserve">(по согласованию)</w:t>
            </w:r>
            <w:r>
              <w:rPr>
                <w:rFonts w:ascii="Arial" w:cs="Arial" w:eastAsia="Arial" w:hAnsi="Arial"/>
                <w:sz w:val="24"/>
                <w:szCs w:val="24"/>
              </w:rPr>
              <w:t xml:space="preserve">,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Провести информационные встречи на уровне каждого района о необходимости восстановления пойменных лесов, обучения методам определения участков для восстановления и методам их восстановления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встречи на уровне районов.</w:t>
            </w:r>
            <w:r>
              <w:rPr>
                <w:rFonts w:ascii="Arial" w:cs="Arial" w:eastAsia="Arial" w:hAnsi="Arial"/>
                <w:sz w:val="24"/>
                <w:szCs w:val="24"/>
              </w:rPr>
              <w:t xml:space="preserve">Приняли участие не менее 400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Организовать среди органов местного самоуправления конкурс по сохранению и восстановлению пойменных лесов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победители конкурса в каждой области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 Разработать и внедрить комплексную методику восстановления деградированных пастбищных экосистем, способствующую достижению нейтрального баланса деградации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восстановления пастбищных экосистем утверждена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w:t>
            </w:r>
            <w:r>
              <w:rPr>
                <w:rFonts w:ascii="Arial" w:cs="Arial" w:eastAsia="Arial" w:hAnsi="Arial"/>
                <w:sz w:val="24"/>
                <w:szCs w:val="24"/>
              </w:rPr>
              <w:t xml:space="preserve">МВСХПП, Кыргызский институт животноводства и пастбищ,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 Поддержать инициативы по восстановлению деградированных пастбищ в каждом районе при условии финансовой поддержки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Восстановлено не менее 90 тыс. га деградированных пастбищ</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ОМСУ (по согласованию), Айыл банк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ценности экосистем, природного капитала в планировании развития на всех уровнях принятия решений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Включить вопросы охраны окружающей среды и биоразнообразия в стратегические документы по развитию местного самоуправления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Стратегия развития местного самоуправления, стратегия развития областей содержат вопросы сохранения биологического разнообразия и сохранения экосистем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МПРЭТН, МЧС (Лесная служба),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Провести оценку расходов на сохранение биоразнообразия государственным и частным секторами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документ "Обзор расходов на сохранение биоразнообразия государственным и частным секторами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Разработать и внедрить методику расчета допустимой рекреационной нагрузки на ООПТ с учетом типа экосистем и продолжительности посещения (однодневного, сезонного и годового посещения)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расчета норм рекреационной нагрузки однодневного, сезонного и годового посещения туристами ООПТ утверждена постановлением Кабинета Министров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МЭК (Департамент туризма) и другие научные организации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Разработать и внедрить Порядок размещения объектов административно-хозяйственного назначения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размещения объектов административно-хозяйственного назначения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Разработать и внедрить Типовое положение о проведении конкурса на размещение туристических объектов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проведении конкурса на размещение туристических объектов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(Департамент туризма)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Размещать данные о договорах и условиях аренды в ООПТ в открытом доступе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договорах и условиях аренды доступны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Разработать ведомственный план мер по организации деятельности по проведению экологической экспертизы НПА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организации деятельности по проведению экологической экспертизы утвержден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экономических механизмов стимулирования сохранения экосистем и биоразнообразия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6.1. Провести анализ политических и институциональных рамок финансирования биоразнообразия в Кыргызской Республике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w:t>
            </w:r>
            <w:r>
              <w:rPr>
                <w:rFonts w:ascii="Arial" w:cs="Arial" w:eastAsia="Arial" w:hAnsi="Arial"/>
                <w:sz w:val="24"/>
                <w:szCs w:val="24"/>
              </w:rPr>
              <w:t xml:space="preserve">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политических и институциональных рамок финансирования биоразнообразия в Кыргызской Республике доступен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6.2. Разработать и утвердить План финансирования биоразнообразия, включающий механизмы улучшения финансирования мер по сохранению биоразнообразия и экосистем с привлечением частного сектора и финансовых институтов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w:t>
            </w:r>
            <w:r>
              <w:rPr>
                <w:rFonts w:ascii="Arial" w:cs="Arial" w:eastAsia="Arial" w:hAnsi="Arial"/>
                <w:sz w:val="24"/>
                <w:szCs w:val="24"/>
              </w:rPr>
              <w:t xml:space="preserve">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финансирования биоразнообразия.</w:t>
            </w:r>
            <w:r>
              <w:rPr>
                <w:rFonts w:ascii="Arial" w:cs="Arial" w:eastAsia="Arial" w:hAnsi="Arial"/>
                <w:sz w:val="24"/>
                <w:szCs w:val="24"/>
              </w:rPr>
              <w:t xml:space="preserve">Меры Плана включены в План действий по сохранению биоразнообразия на 2024</w:t>
            </w:r>
            <w:r>
              <w:rPr>
                <w:rFonts w:ascii="Arial" w:cs="Arial" w:eastAsia="Arial" w:hAnsi="Arial"/>
                <w:sz w:val="24"/>
                <w:szCs w:val="24"/>
              </w:rPr>
              <w:t xml:space="preserve">-</w:t>
            </w:r>
            <w:r>
              <w:rPr>
                <w:rFonts w:ascii="Arial" w:cs="Arial" w:eastAsia="Arial" w:hAnsi="Arial"/>
                <w:sz w:val="24"/>
                <w:szCs w:val="24"/>
              </w:rPr>
              <w:t xml:space="preserve">2030 годы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Внедрить механизмы финансирования, утвержденные в рамках Плана финансирования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финансирования применяются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Внедрить механизм раскрытия хозяйствующими субъектами информации, связанной с использованием природных ресурсов и воздействием на природу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механизм</w:t>
            </w:r>
            <w:r>
              <w:rPr>
                <w:rFonts w:ascii="Arial" w:cs="Arial" w:eastAsia="Arial" w:hAnsi="Arial"/>
                <w:sz w:val="24"/>
                <w:szCs w:val="24"/>
              </w:rPr>
              <w:t xml:space="preserve"> раскрытия хозяйствующими субъектами информации, связанной с использованием природных ресурсов и воздействием на природу разработан и внедряется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Разработать стимулы для туристических организаций к реализации мер по сохранению экосистем и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принятых мер для стимулирования туристических организаций к сохранению экосистем и биоразнообразия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природосберегающих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Внедрить методики применения ресурсосберегающих и малоотходных технологий в горнодобывающем секторе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предприятий, на которых внедрены ресурсосберегающие и малоотходные технологии, согласно методикам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Внести в Положение о рекультивации земель, нарушенных в процессе пользования недрами, требования рекультивации аборигенными видами растений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 рекультивации земель, нарушенных в процессе пользования недрами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Разработать процедуры регулирования забора и использования воды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разрешений на использование воды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рисков загрязнения окружающей среды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Вывести из-под моратория на проверки субъектов предпринимательства проверки на соблюдение природоохранного законодательства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Разработать и внедрить программу "Единое здоровье" с целью снижения рисков зооантропонозных инфекций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Программы "Единое здоровье" и проект НПА по утверждению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МЗ,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Провести аккредитации аналитических лабораторий при соответствующих министерствах и ведомствах, отвечающих за экологический мониторинг, в частности аналитической лаборатории при Министерстве природных ресурсов, экологии и технического надзора Кыргызской Республики, а также лабораторий Кыргызгидромета, отвечающих за качество воздуха и поверхностных вод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аккредитованы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Разработать процедуры и механизмы оценки рисков и управления рисками и мониторинга ГМО/ЖИО для окружающей среды и здоровья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разработанные и утвержденные государственными органами, отвечающими за различные виды использования ЖИО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МЗ, НАН, ФАО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Создать национальный веб-сайт по биобезопасности для облегчения обмена научной, технической, экологической и правовой информацией о ГМО/ЖИО (генетически модифицированных организмах/живых измененных организмах)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национальный веб-сайт по биобезопасности в качестве составной части сайта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МЗ,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к изменению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Внедрение набора статистических индикаторов по изменению климата в соответствии с графиком Дорожной карты по совершенствованию статистики изменения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набор статистических индикаторов по изменению климата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Разработать и внедрить систему мониторинга, отчетности и верификации выбросов парниковых газов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система мониторинга, отчетности и верификации выбросов парниковых газов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 Провести исследования по разработке модели прогнозирования и сценарного анализа воздействия изменения климата на биоразнообразие, вредителей и болезни леса, лесные пожары, смещение границ лесов и продуктивность леса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утверждены Ученым советом НАН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МПРЭТН, МЧС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доноров и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Обновить план по улучшению качества воздуха в городе Бишкек и Чуйской области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План по улучшению качества воздуха в городе Бишкек и Чуйской области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Чуйской области, мэрия г.Бишкек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Озеленять населенные пункты страны в соответствии с нормативами озеленения, планами развития и индикаторами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зеленых насаждений и массивов в населенных пунктах в расчете на 1000 человек больше 2 га.</w:t>
            </w:r>
            <w:r>
              <w:rPr>
                <w:rFonts w:ascii="Arial" w:cs="Arial" w:eastAsia="Arial" w:hAnsi="Arial"/>
                <w:sz w:val="24"/>
                <w:szCs w:val="24"/>
              </w:rPr>
              <w:t xml:space="preserve">Обеспечение не менее 2% ежегодного роста зеленых насаждений в городах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 строительных организаций, частного сектора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Провести оценку уязвимости к изменению климата Чуйской, Таласской, Нарынской и Иссык-Кульской областей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документ об оценке уязвимости к изменению климата Чуйской, Таласской, Нарынской и Иссык-Кульской областей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(Кыргызгидромет), МЗ</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 строительных организаций, частного сектора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 Подготовить базу для формирования национального адаптационного плана (далее - НАП) для Чуйской, Таласской, Нарынской и Иссык-Кульской областей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для формирования НАП для Чуйской, Таласской, Нарынской и Иссык-Кульской областей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(Кыргызгидромет), МЗ</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строительных организаций частного сектора</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участия в переговорах на международном уровне</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Повысить потенциал сотрудников министерств и ведомств по вопросам климатической дипломатии через разработку системы повышения квалификации и поддерживающих информационных материалов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Обучено не менее 50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координационная группа по подготовке к КС, экспертная поддержка партнеров по развитию и гражданского общества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Принять участие во встречах сторон Конвенции по изменению климата СОР 30, 31, 32, 33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участие национальной делегации в СОР РКИК ООН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ЦКФ, экспертная поддержка партнеров по развитию и гражданского общества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Провести переговоры со Всемирным банком, управляющим Фондом по потерям и ущербу с целью определения процедур доступа страны и местных сообществ к ресурсам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процедура подачи заявок в фонд по потерям и ущербу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ЦКФ, МФ, МПРЭТН, МЧС, </w:t>
            </w: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 Принять участие во встречах сторон Конвенции по сохранению биоразнообразия СОР 17, 18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участие национальной делегации в СОР РКИК ООН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Зеленая энергетика</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долгосрочного энергетического планирования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Разработать долгосрочные энергетические сценарии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прогнозы в отношении спроса и предложения на все виды энергии в разрезе территорий разработаны и предоставлены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Разработать различные долгосрочные энергетические сценарии с учетом изменения климата, потребностей в воде и разных темпов роста спроса на энергию, на основе Генерального плана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энергетические сценарии разработаны и предоставлены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Провести моделирование разработанных долгосрочных энергетических сценариев с использованием доступных инструментов энергетического и экономического моделирования, в том числе Модели зеленой экономики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оптимальные сценарии развития с точки зрения экономического роста с учетом стоимости и влияния на окружающую среду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Определить потребности в финансировании и возможных партнеров для оптимальных сценариев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Потребности в финансировании и возможные партнеры для оптимальных сценариев определены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Улучшить систему учета и мониторинга состояния энергетического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индикаторов развития ВИЭ для сбора и регулярной публикации, включая установленную мощность всех видов станций, вид вырабатываемой энергии, объем выработки, мощность и емкость установленных аккумуляторов. См. приложение 1. Форма таблиц по генерирующим мощностям и вводу новых мощностей до 2030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Разработать методологию сбора информации согласно утвержденному перечню индикаторов развития ВИЭ (см. 2.1.5) и наладить систему сбора статистических данных по ВИЭ и систему предоставления отчетности по ним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расширенный перечень индикаторов рассчитывается и данные регулярно публикуются как часть публикации "Промышленность КР" и предоставляется на сайте НСК и МЭ на ежеквартальной основе в качестве отдельных таблиц</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Добавить индикаторы всех видов энергии, произведенной с помощью ВИЭ в расчет Топливно-энергетического баланса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 КР публикуется с индикаторами всех видов энергии, произведенной с помощью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Обновить методологию сбора информации и расчета установленной мощности электрических и тепловых станций для включения энергии от ВИЭ и устранить неточности в Таблице 9.1. Мощность электростанций и производство электроэнергии публикации НСК "Промышленность КР" с 2013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сбора информации и расчета установленной мощности энергостанций и тепловых станций обновлена для включения энергии от ВИЭ, неточности в Таблице 9.1. Мощность электростанций и производство электроэнергии публикации НСК "Промышленность КР" с 2013 года устранены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 Дополнить государственный статистический классификатор продукции товаров и услуг для включения биодизеля, биоэтанола, биогаза, тепловой энергии, отпущенной солнечными станциями и тепловыми насосами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статистический классификатор продукции товаров и услуг дополнен для включения биодизеля, биоэтанола, биогаза, тепловой энергии, отпущенной солнечными станциями и тепловыми насосами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 Обновить государственный классификатор видов экономической деятельности для соответствия классификатору продукции товаров и услуг раздельного учета производства электроэнергии солнечными, ветровыми и газовыми, биогазовыми и геотермальными электростанциями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 соответствует обновленному классификатору продукции товаров и услуг и учитывает отдельное производства электроэнергии солнечными, ветровыми и газовыми, биогазовыми и геотермальными электростанциями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Консолидировать существующие исследования ВИЭ и составить общие карты зонирования для всех видов ВИЭ, включая солнечную, ветровую, геотермальную (грунтовые), биоэнергию, малые ГЭС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Консолидированы существующие исследования и составлены общие карты зонирования для всех видов ВИЭ, проведены дополнительные исследования для определения энергетического потенциала районов КР и составлены карты районов с местами возможного размещения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 Провести анализ затрат на поддержание сети, потерь в сетях передачи и распределения для подключения ВИЭ-установок в соответствии с проведенным картированием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максимальная возможная мощность подключения ВИЭ к сети с учетом установки аккумуляторов для переменных ВИЭ при существующем состоянии сети, а также необходимые обновления сети для интеграции полного потенциала ВИЭ в разрезе районов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 Предоставить информацию об энергетическом потенциале на уровне районных структур местным органам власти для принятия информированных решений о планах развития района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органы власти принимают информированные решения о планах развития района, с учетом энергетического потенциала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 Обновить районные и местные планы развития с учетом информации об энергетическом потенциале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и местные планы развития обновлены с учетом информации об энергетическом потенциале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 Определить для каждого из оптимальных долгосрочных энергетически сценариев на уровне районов с учетом картирования ВИЭ, возможности местного потребления энергии и способность сетей для передачи энергии в более энергодефицитные районы, включая потери при передаче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каждого из оптимальных долгосрочных энергетически сценариев на уровне районов с учетом картирования определены возможности местного потребления и передачи энергии в более энергодефицитные районы, потери при передаче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2.1.16. Провести анализ затрат на поддержание сети, потерь в сетях передачи и распределения для подключения ВИЭ-установок в соответствии с проведенным картированием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расчетов необходимых затрат на поддержание и обновление сетей учитываются при принятии решений о внедрении ВИЭ и включаются в общий долговременный план модернизации сетей для каждого из оптимальных долгосрочных энергетически сценариев на уровне районов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 Определить целевые показатели в области развития ВИЭ с учетом результатов исследований, анализа возможностей сетей, отраслевых показателей, обязательств по ОНУВ, ЦУР и углеродной нейтральности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целевые энергетические показатели развития ВИЭ до 2035 г., с учетом отраслевых показателей, обязательств по ОНУВ, ЦУР и углеродной нейтральности на уровне районов, областей и страны в целом по всем видам ВИЭ и типам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 МПРЭТН,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 Разработать планы/квоты внедрения ВИЭ на районном уровне с учетом энергетических сценариев, возможностей и планов модернизации сетей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планы/квоты внедрения ВИЭ на районном уровне с учетом энергетических сценариев, возможностей и планов модернизации сетей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 Разработать "Программу развития ВИЭ на 2026-2035 гг."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развития ВИЭ на 2026-2035 гг., включающая целевые показатели (квоты) по территории и виду ВИЭ для электрической, тепловой энергии и топлива с учетом проведенных исследований, возможностей сетей, возможности балансировки переменных ВИЭ, с учетом обязательств по ОНУВ, ЦУР и углеродной нейтральности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 Обновить существующие стратегические и программные документы развития топливно-энергетического комплекса с учетом установленных целевых показателей в области возобновляемой энергетики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 развития Кыргызской Республики с 2018 до 2040 годов, Национальная программа развития Кыргызской Республики до 2026 года и другие стратегические и программные документы обновлены и гармонизированы с учетом установленных целевых показателей в области возобновляемой энергетики, выработанных с учетом энергетических сценариев, ресурсов ВИЭ и возможностей сетей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 МПРЭТН,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 Внедрить систему мониторинга достижения целевых показателей Программы развития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ежеквартальный мониторинг достижения целевых показателей Программы развития ВИЭ, а также корректировка мер Программы в соответствии с достигнутыми результатами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нормативно-правовой реформы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Гармонизировать и оптимизировать действующие нормативные правовые акты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новый </w:t>
            </w:r>
            <w:hyperlink w:history="1" r:id="rIdlyvb-ipdzblomtaepda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энергетике", внесены изменения в </w:t>
            </w:r>
            <w:hyperlink w:history="1" r:id="rId753x5bfyih0idzp7ivt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возобновляемых источниках энергии", Положение об условиях и порядке осуществления деятельности по выработке и поставке электрической энергии с использованием ВИЭ, Положение о порядке предоставления земель под реализацию возобновляемых источников электроэнергии, постановление Кабинета Министров от 28.08.23 г. № 429 "О развитии возобновляемых источников энергии", Правила пользования электрической энергией для отражения изменений в структуре энергосектора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Обеспечить институциональную поддержку развития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 КМ КР "О внесении изменений в Положение о МЭ", Положение о ФЗЭ с четким разграничением функций, полномочий и обязанностей указанных госорганов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(ДТЭК),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Провести оптимизацию процедур реализации проектов с использованием ВИЭ в области электроэнергетики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условиях и порядке осуществления деятельности по выработке и поставке электрической энергии с использованием ВИЭ (в том числе пересмотрена формулировка пункта 13 для разъяснения, что уполномоченный орган, определяемый в зависимости от проекта, проводит отбор инвесторов для присуждения права на строительство и эксплуатацию ВИЭ-станций в соответствии с порядком, установленным законодательством).</w:t>
            </w:r>
            <w:r>
              <w:rPr>
                <w:rFonts w:ascii="Arial" w:cs="Arial" w:eastAsia="Arial" w:hAnsi="Arial"/>
                <w:sz w:val="24"/>
                <w:szCs w:val="24"/>
              </w:rPr>
              <w:t xml:space="preserve">Такой порядок может включать заключение типового договора с НЭСК без соглашения о ГЧП или инвестиционного соглашения, реализацию проекта согласно модели ГЧП, или через инвестиционные соглашения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Разработать кадастр земель водного и ирригационного фонда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кадастр земель водного и ирригационного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Разработано Положение "О порядке отвода и предоставления в пользование земель водного фонда"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порядке отвода и предоставления в пользование земель водного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Провести оптимизацию предоставления земель водного фонда и разрешительных процедур на водопользование для реализации проектов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реализации проектов ВИЭ гармонизированы путем внесения изменений в "Положение о порядке передачи земель, находящихся в ведении уполномоченного учреждения в сфере ВИЭ, под строительство объектов возобновляемых источников энергии" и "Положение об организации внутренней деятельности Фонда зеленой энергетики при КМ КР по принципу единого окна" (постановлением Кабинета Министров Кыргызской Республики от 28 августа 2023 года № 429, (Указ Президента), "</w:t>
            </w:r>
            <w:hyperlink w:history="1" r:id="rIdavvitudbwuuavp4hkio6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w:t>
            </w:r>
            <w:hyperlink w:history="1" r:id="rIdg9uumsridnkcbzpik5k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ПКР от 9 октября 2019 года № 535), "</w:t>
            </w:r>
            <w:hyperlink w:history="1" r:id="rId9x6xyz6dhlcuycbnwp835">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ВИЭ" (</w:t>
            </w:r>
            <w:hyperlink w:history="1" r:id="rIdr-us4sybrjcipkzx0md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от 24 октября 2022 года № 583), а также </w:t>
            </w:r>
            <w:hyperlink w:history="1" r:id="rId8ng0pepl_einejgef65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возобновляемых источниках энергии" от 30 июня 2022 года № 49 и исключения коллизий между ними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Оптимизировать процедуру проведения конкурса на предоставление земель для ВИЭ ФЗЭ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проведения конкурса на предоставление земель для ВИЭ ФЗЭ оптимизирована, разработаны четкие критерии отбора с методологией их расчета, исключающие принятие необоснованных решений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 Создать равные условия для строительства установок ВИЭ в частной собственности при возмещении потерь при трансформации земель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статью 5 Закона "О трансформации земель для освобождения малых ГЭС в частной собственности, солнечных и ветровых станций, и других ВИЭ от уплаты суммы возмещения потерь сельскохозяйственного производства и упущенной выгоды"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ФЗЭ,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 Уточнить и гармонизировать определение "Возобновляемые источники энергии" в законах "Об энергосбережении" и "О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"Возобновляемые источники энергии" в законах "</w:t>
            </w:r>
            <w:hyperlink w:history="1" r:id="rIdlgk296khhvngbwtl4evba">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 и "</w:t>
            </w:r>
            <w:hyperlink w:history="1" r:id="rIdfcru0ld1u6pku0dhbv0pv">
              <w:r>
                <w:rPr>
                  <w:rFonts w:ascii="Arial" w:cs="Arial" w:eastAsia="Arial" w:hAnsi="Arial"/>
                  <w:color w:val="1D4ED8"/>
                  <w:sz w:val="24"/>
                  <w:szCs w:val="24"/>
                  <w:u w:val="single"/>
                </w:rPr>
                <w:t xml:space="preserve">О ВИЭ</w:t>
              </w:r>
            </w:hyperlink>
            <w:r>
              <w:rPr>
                <w:rFonts w:ascii="Arial" w:cs="Arial" w:eastAsia="Arial" w:hAnsi="Arial"/>
                <w:sz w:val="24"/>
                <w:szCs w:val="24"/>
              </w:rPr>
              <w:t xml:space="preserve">" гармонизировано и конкретизировано: "возобновляемая энергия - это энергия солнца, ветра, движения водных потоков, геотермальная энергия с использованием природных подземных теплоносителей, низкопотенциальная тепловая энергия земли, воздуха и воды с использованием специальных теплоносителей, энергия биомассы, включающая в себя специально выращенные для получения энергии деревья и растения, а также биогаз и другое топливо, получаемое из органических отходов производства и потребления"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 Разработать Положение о выработке, условиях использования и реализации тепловой энергии на основе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выработке, условиях использования и реализации тепловой энергии на основе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 Разработать Положение о выработке, условиях использования и реализации биотоплива, включая биодизель, биоэтанол и биогаз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выработке, условиях использования и реализации биотоплива, включая биодизель, биоэтанол и биогаз</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поддерживающих механизмов энергетической политики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Разработать единую классификацию мощностей энергетических станций для оптимизации регулирования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энергетических станций малой мощности до 0,5 МВт в </w:t>
            </w:r>
            <w:hyperlink w:history="1" r:id="rId4hdafk9ib1pj0yqfdbcy0">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"Об электроэнергетике" признано утратившим силу и утверждена общая градация мощности энергетических установок для автономных и сетевых станций возобновляемых источников энергии.</w:t>
            </w:r>
            <w:r>
              <w:rPr>
                <w:rFonts w:ascii="Arial" w:cs="Arial" w:eastAsia="Arial" w:hAnsi="Arial"/>
                <w:sz w:val="24"/>
                <w:szCs w:val="24"/>
              </w:rPr>
              <w:t xml:space="preserve">Предлагается: от 0 до 100 кВт установленной мощности - микрогенерация, от 100 кВт до 1 МВт - мини, от 1 МВт до 30 МВт - малые, от 30 МВт до 100 МВт - средние и более 100 МВт - крупные станции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Оптимизация регулирования энергетических станций с использованием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hyperlink w:history="1" r:id="rIdyl8ems1dskddbr0lxxrf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ВИЭ и положениях о выработке, условиях использования и реализации разных видов энергии предусмотрено регулирование для каждой мощности станций в рамках утвержденной градации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Уточнить определение субъектов естественных монополий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hyperlink w:history="1" r:id="rIdih2njtxia-naj1ox_nxn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естественных монополиях в КР" внесено изменение в статью 21 "Сферы естественных монополий", (подпункт 3), исключающее автоматическое определение всех участников энергетического сектора как субъектов монополии. Подпункт 3 перефразирован следующим образом: "производство, распределение, продажа, передача электрической и тепловой энергии, кроме субъектов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Обеспечить развитие микрогенерации (с учетом пилотно-демонстрационных проектов)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порядок и условия работы в режиме микрогенерации для бытовых и не бытовых абонентов, включающие тарифные условия, процедуры ведения деятельности, налоговые обязательства сторон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 Оптимизировать процедуры получения разрешительных документов (технических условий и пр.) для установки ВИЭ на строящихся и существующих зданиях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получения разрешительных документов, включая технические условия, для установки ВИЭ на строящихся и существующих зданиях оптимизированы, четко определены, и опубликованы отдельным документом на сайтах МЭ, Госстроя и НЭСК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Разработаны минимальные стандарты установки объектов микрогенерации на существующие и новые объекты строительства, вне зависимости от формы собственности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стандарты установки объектов микрогенерации на существующие и новые объекты строительства, вне зависимости от формы собственности, утверждены и опубликованы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 Определить статус и преференции для производителей ВИЭ в рамках микрогенерации и других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и дополнения в </w:t>
            </w:r>
            <w:hyperlink w:history="1" r:id="rIdella5gyjrc3npktyelm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ВИЭ", "Положение об условиях и порядке осуществления деятельности по выработке и поставке электрической энергии с использованием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 Разработать типовой договор купли-продажи электроэнергии у абонентов-субъектов микрогенерации, не потребленной на собственные нужды и выдаваемой в общую единую электрическую сеть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купли-продажи электроэнергии у абонентов-субъектов микрогенерации, не потребленной на собственные нужды и выдаваемой в общую единую электрическую сеть, разработан в форме дополнительного соглашения к контракту на электроснабжение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 Внедрить учет выданных техусловий на подключение ВИЭ-установок в режиме микрогенерации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ведется и сводная информация в разрезе видов ВИЭ, установленной мощности, вида вырабатываемой энергии в разрезе районов публикуется на сайте МЭ ежеквартально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 Обеспечить установку счетчиков АСКУЭ с интеграцией их в ЦССОД ОАО "КЭРЦ" на всех точках перетока электроэнергии субъектов ВИЭ (выработка, собственные и хозяйственные нужды, собственные потребители)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ведется и информация о производстве электроэнергии, произведенной в режиме микрогенерации и в рамках других мощностей ВИЭ по градации, публикуется КЭРЦ ежемесячно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(КЭРЦ)</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r>
              <w:rPr>
                <w:rFonts w:ascii="Arial" w:cs="Arial" w:eastAsia="Arial" w:hAnsi="Arial"/>
                <w:sz w:val="24"/>
                <w:szCs w:val="24"/>
              </w:rPr>
              <w:t xml:space="preserve">Средства субъектов ВИЭ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 Создать условия для развития энергокооперативов для снижения нагрузки на сеть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об энергетических кооперативах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 Устранить противоречия между механизмами проведения конкурса на понижение цены и существующего ВИЭ-тарифа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pu2lnqx2htbzo1okdlld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возобновляемых источниках энергии" и </w:t>
            </w:r>
            <w:hyperlink w:history="1" r:id="rIdwt2gjw4mshiq6-neq_c4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w:t>
            </w:r>
            <w:hyperlink w:history="1" r:id="rIdiwogt1dem_jjl1n9fvy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от 24 октября 2022 года № 583) для разрешения противоречий между механизмами проведения конкурса на понижение цены и существующего ВИЭ-тарифа, возможно, через определение минимальной установленной мощности установки для проведения аукционов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 Разработать процедуры проведения аукционов для ВИЭ-установок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проведении аукционов на строительство объектов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2.3.14. Внедрить процедуры проведения аукционов для ВИЭ-установок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аукционы на строительство энергетических установок с использованием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 Разработать механизмы стимулирования декарбонизации теплоснабжения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стимулирования декарбонизации теплоснабжения через внедрение тепловых насосов для частных и общественных зданий, которые используют электричество для отопления, такие как отмена государственного контроля ценообразования для ситуаций, исключающих монополизацию рынка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мэрия г.Ош,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 Стимулировать декарбонизацию теплоснабжения для физических и юридических лиц, внедряющих тепловые насосы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Снять/ослабить ограничения по потреблению электрической мощности для физических и юридических лиц, внедряющих тепловые насосы для отопления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мэрия г.Бишкек, мэрия г.Ош</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снижению инвестиционных рисков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Оптимизировать утвержденные типовые формы договоров поставки электроэнергии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Приведены в соответствие с </w:t>
            </w:r>
            <w:hyperlink w:history="1" r:id="rIdxdlsdgsgy2_41obbmxx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ВИЭ утвержденные типовые договоры на поставку электрической энергии объектами возобновляемых источников энергии для станций ВИЭ установленной мощностью до 30 МВт и для станций свыше 30 МВт(1), в следующем:</w:t>
            </w:r>
            <w:r>
              <w:rPr>
                <w:rFonts w:ascii="Arial" w:cs="Arial" w:eastAsia="Arial" w:hAnsi="Arial"/>
                <w:sz w:val="24"/>
                <w:szCs w:val="24"/>
              </w:rPr>
              <w:t xml:space="preserve">- Исключена возможность отказа Покупателя (ОАО "НЭСК") в случае отсутствия возможности приобретения электроэнергии, что напрямую противоречит </w:t>
            </w:r>
            <w:hyperlink w:history="1" r:id="rIdg6a7q82brdgeh7oj1mhkz">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пункту 3 Закона "О ВИЭ".</w:t>
            </w:r>
            <w:r>
              <w:rPr>
                <w:rFonts w:ascii="Arial" w:cs="Arial" w:eastAsia="Arial" w:hAnsi="Arial"/>
                <w:sz w:val="24"/>
                <w:szCs w:val="24"/>
              </w:rPr>
              <w:t xml:space="preserve">- Обеспечено заключение договора с объектами возобновляемых источников энергии для станций ВИЭ установленной мощностью до 30 МВт на полный срок льготного периода, а не на 1 год с ежегодным продлением.</w:t>
            </w:r>
            <w:r>
              <w:rPr>
                <w:rFonts w:ascii="Arial" w:cs="Arial" w:eastAsia="Arial" w:hAnsi="Arial"/>
                <w:sz w:val="24"/>
                <w:szCs w:val="24"/>
              </w:rPr>
              <w:t xml:space="preserve">- Исключена возможность изменения тарифа для станций ВИЭ установленной мощностью до 30 МВт после подписания с ними Договора на поставку электроэнергии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Разработать и утвердить типовую форму договора поставки топлива (биоэтанол и биодизель)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типовая форма договора поставки топлива (биоэтанол и биодизель)</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Масштабировать проекты государственно-частного партнерства на основе накопленного опыта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типовая форма договора ГЧП и инвестиционного соглашения для реализации проектов по строительству объектов ВИЭ, учитывающая управления рисками; объединения работ по проектированию, строительству, финансированию, эксплуатации и техническому обслуживанию; механизмов отчетности, конкуренции и интересов разных сторон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ГАУГИ,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Разработать типовой Договор безвозмездной аренды земельных участков, зданий и сооружений, находящихся в государственной собственности в целях установки ВИЭ-установок малой мощности, соответствующих стандартам и техническими требованиям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типовой Договор безвозмездной аренды земельных участков, зданий и сооружений, находящихся в государственной собственности, в целях установки ВИЭ-установок малой мощности, соответствующих стандартам и техническими требованиям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ГАУГИ,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Разработать "Справочник для инвесторов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справочник для инвесторов ВИЭ о процедурах и требованиях законодательства для внедрения проектов ВИЭ, включая процедуры для станций разной мощности (микрогенерация, мини, малая,), ГЧП, аукционы подготовлен, содержит ссылки и комментарии ко всему применимому к ВИЭ законодательству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 Наладить ежеквартальное обновление "Справочника для инвесторов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обновляемая версия справочника для инвесторов ВИЭ размещена на сайте профильных ведомств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 НАИ, Центр ГЧП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технической интеграции ВИЭ в энергетическую систему</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Разработать/адаптировать Сетевые правила и технические стандарты для интеграции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Сетевые правила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Разработать/адаптировать технические стандарты для интеграции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(адаптированы) и утверждены национальные стандарты и технические регламенты в отношении качества оборудования, техники, сырья, запасных частей и комплектующих изделий, используемых для производства и эксплуатации ВИЭ-установок, а также оказания услуг по организации энергоснабжения на основе использования ВИЭ, включая не только электрическую, но и тепловую энергию, биометан, биотопливо.</w:t>
            </w:r>
            <w:r>
              <w:rPr>
                <w:rFonts w:ascii="Arial" w:cs="Arial" w:eastAsia="Arial" w:hAnsi="Arial"/>
                <w:sz w:val="24"/>
                <w:szCs w:val="24"/>
              </w:rPr>
              <w:t xml:space="preserve">Пример стандартов РФ для адаптации и утверждения </w:t>
            </w:r>
            <w:r>
              <w:rPr>
                <w:rFonts w:ascii="Arial" w:cs="Arial" w:eastAsia="Arial" w:hAnsi="Arial"/>
                <w:sz w:val="24"/>
                <w:szCs w:val="24"/>
              </w:rPr>
              <w:t xml:space="preserve">https://files.stroyinf.ru/cgi-bin/ecat/ecat.fcgi</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Центр по стандартизации и метрологии при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Разместить технические стандарты для интеграции ВИЭ в энергосистему на сайте Центра по стандартизации и метрологии при МЭК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стандарты доступны к приобретению на сайте Центра по стандартизации и метрологии при МЭК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Центр по стандартизации и метрологии при МЭК,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Провести анализ затрат и выгод использования в КР различных видов накопителей энергии для: электрических накопителей, тепловых накопителей, химических накопителей энергии, включая водород, механические накопители энергии, включая гравитационные, кинетические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по внедрению накопителей энергии с возможностью их интеграции на объекты энергосистемы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Внести дополнения по накопителям энергии в программы развития топливно-энергетического комплекса, включая Программу развития ВИЭ до 2035 гг.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представлены МЭ для внедрения в программы среднесрочного развития топливно-энергетического комплекса, включая Программу развития ВИЭ до 2035 гг.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Разработать Национальную водородную стратегию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Национальная водородная стратегия, учитывающая возможности использования водорода в транспортном секторе, энергетике в качестве систем хранения и в качестве экспортируемой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МТК, МЭК,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(UNECE)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 Обеспечить безопасную техническую интеграцию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по привлечению инвестиций/финансированию для широкомасштабной модернизации с увеличением пропускной способности линий электропередачи и трансформаторных мощностей существующих подстанций, а также строительства новых электросетевых объектов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(UNECE)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Улучшить качество электрической энергии и обеспечить необходимый резерв реактивной мощности в энергосистеме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системы РЗА и СКАДА, установлено дополнительное оборудование для улучшения качества электрической энергии, обеспечения необходимого резерва реактивной мощности в энергосистеме и т.д.</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Разработать требования для девелоперов ВИЭ по обеспечению LVRT и HVRT характеристик (по низкому и высокому напряжению) преобразовательных устройств, а также оснащению станций системами накопления электрической энергии (СНЭЭ)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требования для девелоперов ВИЭ по обеспечению LVRT и HVRT характеристик (по низкому и высокому напряжению) преобразовательных устройств, а также оснащению станций систем накопления электрической энергии (СНЭЭ)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 Разработать требования по внедрению субъектами ВИЭ специальных программ по прогнозированию генерации ВИЭ и обеспечению кибербезопасности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требования по внедрению субъектами ВИЭ специальных программ по прогнозированию генерации ВИЭ и обеспечения кибербезопасности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потенциала в государственном и частном секторах</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Определить наиболее важные темы для наращивания институционального потенциала в сфере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наиболее важные темы для наращивания потенциала, включая выгоды и ограничения ВИЭ, расчет затрат, технические проблемы при интеграции переменных ВИЭ в сеть, управление системой со значительными долями ВИЭ, применение систем аккумулирования и реагирования на спрос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МОH, ВУЗы, 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Разработать обучающие материалы для наращивания институционального потенциала в сфере ВИЭ для государственных служащих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и ежеквартально, начиная с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мероприятия на ежемесячной основе для государственных служащих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АГУПР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Разработать обучающие материалы для наращивания институционального потенциала в сфере ВИЭ для студентов и представителей бизнеса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и ежеквартально, начиная с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мероприятия на ежемесячной основе для студентов ВУЗов, и частных предпринимателей в области энергетики, в том числе -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ВУЗы,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Разработать и внедрить учебные программы, посвященные использованию ВИЭ в строительстве и энергетике, с учетом региональных особенностей, для средних и высших учебных заведений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и ежеквартально, начиная с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подготовка квалифицированных кадров и рабочей силы для повышения технологического потенциала отраслей национальной экономики с постепенным сокращением существующего гендерного разрыва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ОАО "НЭСК", ВУЗы,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Повысить информированность населения о состоянии энергосектора и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 коммуникаций и информирования граждан КР об экономической целесообразности использования установок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 Разработать информационные материалы, статьи для СМИ, с учетом гендерных особенностей целевых групп</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и ежеквартально, начиная с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Организуются информационные встречи, публикуются информационные материалы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региональных энергетических рынках и международное сотрудничество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Содействовать созданию централизованной системы автоматического регулирования частоты и мощности в ОЭС Центральной Азии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подготовка к вступлению в централизованную систему автоматического регулирования частоты и мощности электроэнергии в ОЭС Центральной Азии в целях обеспечения стабильной работы ОЭС ЦА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Содействовать созданию ЦСАА (Центральной системы аварийной автоматизации) в ОЭС Центральной Азии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вклад в разработку программного обеспечения аварийной автоматизации и оборудования для работы ОЭС ЦА с целью обеспечения устойчивости системы к планируемым изменениям при перегрузке оборудования в условиях аварийных ситуаций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 Содействовать созданию общего рынка электроэнергии в рамках Евразийского экономического союза, Центральной Азии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правила функционирования общего электроэнергетического рынка ЕАЭС и НПА, обеспечивающие планируемый запуск рынка в январе 2027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 Содействовать обеспечению внедрения балансировки ВИЭ в энергосистему в рамках ОЭС Центральной Азии/ЕАЭС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система согласования часовых поясов, использования балансовой мощности, централизованной системы автоматического регулирования частоты и мощности и Центральной системы аварийной автоматизации для балансировки вводимых в энергосистемы стран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нормативных правовых актов (НПА), норм и стандартов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Разработать Национальную программу по энергетической реновации общественных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Национальной программы энергетической реновации общественных зданий в КР, определен бюджет и разработан детальный план деятельности с индикаторами достижения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Разработать Положение о порядке проведения мониторинга за качеством выполненных работ по энергетической сертификации зданий и периодическому контролю энергетической эффективности котлов, системы отопления, и горячего водоснабжения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НПА о мониторинге за качеством выполненных работ по энергетической сертификации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Актуализировать и утвердить минимальные требования энергетической эффективности зданий в </w:t>
            </w:r>
            <w:hyperlink w:history="1" r:id="rIdnrt4nctluxpp6tyz6zse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энергетической сертификации зданий, утвержденном </w:t>
            </w:r>
            <w:hyperlink w:history="1" r:id="rIdijd2hedwc4oxutm6hqn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августа 2012 года № 531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проведении энергетической сертификации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Разработать и внедрить Положение о Фонде по энергосбережению и энергоэффективности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Фонде по энергосбережению и энергоэффективности. Разработан план деятельности, выделяется финансирование на создание и функционирование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 Разработать и внедрить Положение о порядке проведения государственной экспертизы энергетической эффективности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государственной экспертизы энергетической эффективности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 Разработать Положение о порядке проведения квалификационной сертификации независимых специалистов в области энергетического обследования организаций и предприятий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квалификационной сертификации независимых специалистов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Разработать Положение о порядке проведения энергетических обследований (энергоаудиты) организаций и предприятий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энергетических обследований организаций и предприятий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 Разработать Положение о порядке оказания энергосервисных услуг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оказания энергосервисных услуг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 Подготовить проект постановления Кабинета Министров КР "О внесении некоторых изменений и дополнений в </w:t>
            </w:r>
            <w:hyperlink w:history="1" r:id="rIdotantg1bbzzkq5gipaf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 части включения Научно-исследовательского института энергетики при Министерстве энергетики Кыргызской Республики в Единый реестр по вопросам подготовки и повышения квалификации энергоменеджеров и энергоаудиторов, осуществлению контроля качества сертификатов, а также по проведению энергетического обследования (энергоаудита) организаций, включая бюджетную сферу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 внесении некоторых изменений и дополнений в </w:t>
            </w:r>
            <w:hyperlink w:history="1" r:id="rId1g5ait494kdnvkancpz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 части включения Научно-исследовательского института энергетики при Министерстве энергетики Кыргызской Республики в Единый реестр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методик расчетов и норм потребления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Разработать методику мониторинга энергоэффективного оборудования и светоосветительных приборов на рынке Кыргызстана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регулярная сертификация импортируемого и производимого энергоэффективного оборудования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Актуализировать методику расчета показателей энергетической эффективности зданий и определения класса энергетической эффективности для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расчета показателей энергетической эффективности зданий и определения класса энергетической эффективности для энергетической сертификации зданий принята приказом МСАЖКХ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Обновить/актуализировать строительную норму (СНиП) "Строительная климатология" с учетом повышения энергоэффективности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Обновлена и актуализирована строительная норма "Строительная климатология" решением КМ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региональных, ведомственных планов, базы данных потребителей энергии, проведение энергетического аудита организаций и энергетической сертификации зданий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Разработать и внедрить Реестр/базы данных промышленных и коммерческих крупных потребителей энергии (основные виды деятельности, объемы добычи, производства, потребления, передачи и потерь энергетических ресурсов, план мероприятий по энергосбережению, результаты исполнения плана мероприятий, фактическое энергопотребление на единицу продукции, расходы на отопление на единицу площади зданий и информация об оснащенности приборами учета энергетических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МЭ с приложением о порядке создания базы данных крупных потребителей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промышленных и коммерческих организаций.</w:t>
            </w: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Разработать и внедрить онлайн платформу для общественных зданий (площадь, количество пользователей, год строительства, тип здания, тип отопления, виды применяемых ВИЭ, год реконструкции,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 приказ уполномоченного государственного органа с приложением о порядке создания онлайн платформы общественных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АРИС,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Проведение энергетических обследований (энергоаудит) бюджетных организаций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технические отчеты об энергетическом обследовании бюджетных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Обеспечить проведение энергосертификации и энергетической реновации зданий для повышения энергоэффективности крупнопанельных домов в городах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Пилотные жилые комплексы крупнопанельных домов всех форм собственности в городах КР прошли энергосертификацию зданий и энергетическую реновацию для достижения минимального класса энергоэффективности "B"</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Обеспечить проведение энергетической реновации общественных зданий в рамках реализации Национальной программы реновации общественных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200 общественных зданий прошли реновацию и получили класс энергоэффективности "B"</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МЧС,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финансовых ресурсов для целей энергосбережения и энергоэффективности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Привлечь внебюджетные средства и техническую помощь для начала деятельности Фонда энергосбережения и энергоэффективности с механизмом револьверного фонда, обеспечением условий для его устойчивой работы и повышением потенциала, реализацией стратегических планов и программ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реализует государственную программу по энергосбережению, для чего сформирован штат, закреплены активы, утверждены стратегия, программа и ключевые проекты с другими ведомствами, сформирована команда и стратегические планы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ЦКФ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Провести работы по привлечению климатического финансирования для энергетической реновации общественных зданий и крупнопанельных домов всех форм собственности в городах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 задействованы источники финансирования государственной политики Кыргызской Республики по повышению ресурсо- и энергоэффективности крупнопанельных домов всех форм собственности в городских населенных пунктах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ЦКФ,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учебных курсов. Повешение потенциала независимых специалистов и сотрудников в министерствах и ведомствах</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Повысить потенциал кадров и дооснастить лаборатории для испытаний оборудования на энергоэффективность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Центра по стандартизации и метрологии дооснащены оборудованием для испытания энергоэффективности оборудования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Центр по стандартизации и метрологии при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Разработать и внедрить учебные планы и программы по энергоэффективности в ВУЗах, не менее половины слушателей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подготовка специалистов в области энергоэффективности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Разработать и внедрить профессиональные курсы по энергоэффективным решениям (термоизоляция зданий, установка тепловых насосов, монтаж солнечных коллекторов и фотоэлектрических станций) для специалистов на уровне начального и среднего профессионального образования, проведение ежегодного обучения специалистов, не менее половины слушателей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перечень предметов в системе СПО внедрены курсы энергоэффективности зданий и жилых помещений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Повысить потенциал специалистов в бюджетной сфере.</w:t>
            </w:r>
            <w:r>
              <w:rPr>
                <w:rFonts w:ascii="Arial" w:cs="Arial" w:eastAsia="Arial" w:hAnsi="Arial"/>
                <w:sz w:val="24"/>
                <w:szCs w:val="24"/>
              </w:rPr>
              <w:t xml:space="preserve">Подготовить энергоменеджеров в организациях в бюджетной сфере ОМСУ, где не менее половины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курсы по повышению потенциала в бюджетной сфере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бюджетных организаций на основе Договоров с НИИЭ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Повысить потенциал независимых специалистов и качество работ по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краткосрочные курсы подготовки и переподготовки специалистов по энергетической сертификации зданий и периодическому контролю котлов, систем отопления и горячего водоснабжения на базе технических ВУЗов с учетом гендерного равенства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ведения государственного реестра по энергетической сертификации зданий и аккредитации независимых специалистов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 Мониторинг исполнения </w:t>
            </w:r>
            <w:hyperlink w:history="1" r:id="rIdgrkvo-mociqslg_cmu0n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энергоэффективности зданий" и его подзаконных актов в части ведения государственного реестра по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системной основе осуществляется: мониторинг ведения и подготовка отчетов реестра сертифицированных специалистов, энергетической сертификации зданий, а также по периодическому контролю энергетической эффективности котлов, систем отопления и горячего водоснабжения; подготовка ежегодных отчетов уполномоченному государственному органу в сфере обеспечения и реализации единой государственной политики в топливно-энергетическом комплексе Кыргызской Республики (Минэнерго КР) о результатах работ по проведению энергетической сертификации зданий и (или) периодического контроля энергетической эффективности котлов, систем отопления и горячего водоснабжения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 Мониторинг исполнения </w:t>
            </w:r>
            <w:hyperlink w:history="1" r:id="rId-io3psznob0wwe2q8pe9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энергоэффективности зданий" и его подзаконных актов в части подготовки и аккредитации специалистов в области энергетической сертификации зданий и регулярной проверки котлов, систем отопления и горячего водоснабжения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расширенный пул в количестве не менее 80 сертифицированных специалистов по сертификации зданий и периодическому контролю котлов, систем отопления и горячего водоснабжения c учетом гендерного равенства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Повысить осведомленность среди населения о возможностях энергоэффективных технологий с учетом гендерных аспектов (ролики, национальные информационные кампании, видео и фотоматериалы, тренинги, курсы)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более 4-5 млн. уникальных просмотров материалов по энергоэффективности на всех видах государственных и партнерских информационных платформ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Провести мероприятия по вовлечению населения в деятельность по повышению энергоэффективности путем стимулирования владельцев индивидуальных жилых домов, квартир в многоквартирных жилых домах, которые реализовали мероприятия по повышению энергоэффективности за счет собственных средств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домохозяйств, предпринимающих меры по энергоэффективности, увеличилось в соответствии с п.8 матрицы индикаторов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"Зеленое" сельское хозяйство</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"зеленого" сельского хозяйства в целях обеспечения ее устойчивого развития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Предоставить льготные кредитные ресурсы сельскохозяйственным производителям, применяющим зеленые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дополнения в льготное кредитование сельского хозяйства, предусматривающее средства на развитие "зеленого" сельского хозяйства.</w:t>
            </w:r>
            <w:r>
              <w:rPr>
                <w:rFonts w:ascii="Arial" w:cs="Arial" w:eastAsia="Arial" w:hAnsi="Arial"/>
                <w:sz w:val="24"/>
                <w:szCs w:val="24"/>
              </w:rPr>
              <w:t xml:space="preserve">Увеличен объем выдачи льготных кредитов на 50% по линии различных финансовых институтов, в том числе женщинам.</w:t>
            </w:r>
            <w:r>
              <w:rPr>
                <w:rFonts w:ascii="Arial" w:cs="Arial" w:eastAsia="Arial" w:hAnsi="Arial"/>
                <w:sz w:val="24"/>
                <w:szCs w:val="24"/>
              </w:rPr>
              <w:t xml:space="preserve">Фермерскими хозяйствами, сельскохозяйственными кооперативами и агрокомпаниями внедрены "зеленые" технологии в сфере сельскохозяйственного производства и переработки (животноводство, фрукты и овощи) посредством финансовых продуктов ОАО "Айыл Банк" и ОАО "Элдик Банк"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Разработать инструктивные положения для банков с критериями и перечнем финансовых кредитных продуктов по направлению "зеленого" сельского хозяйства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государственными банками внутренние Положения о критериях и перечне финансовых кредитных продуктов для финансирования "зеленого" сельского хозяйства, в том числе для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ОАО "Элдик Банк", ОАО "Керемет банк", Госбанк развития,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Внедрить механизм кредитования племенного животноводства для создания устойчивой инфраструктуры искусственного осеменения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финансовые механизмы кредитования племенного животноводства в рамках проекта "Кредитование агропромышленного комплекса".</w:t>
            </w:r>
            <w:r>
              <w:rPr>
                <w:rFonts w:ascii="Arial" w:cs="Arial" w:eastAsia="Arial" w:hAnsi="Arial"/>
                <w:sz w:val="24"/>
                <w:szCs w:val="24"/>
              </w:rPr>
              <w:t xml:space="preserve">Приобретено соответствующее оборудование и необходимые компоненты для пунктов осеменения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КНИИЖП,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Внедрить систему мониторинга и учета водопользования в системе ирригации (мониторинг водопотребления поливной воды)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100 датчиков - средств измерения системы мониторинга и учета водопотребления для оросительных систем в рамках проекта "Улучшение водохозяйственных услуг".</w:t>
            </w:r>
            <w:r>
              <w:rPr>
                <w:rFonts w:ascii="Arial" w:cs="Arial" w:eastAsia="Arial" w:hAnsi="Arial"/>
                <w:sz w:val="24"/>
                <w:szCs w:val="24"/>
              </w:rPr>
              <w:t xml:space="preserve">Полноценно функционирует и используется информационная система базы данных "Водопользование"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МВСХПП, СВР, проекты Всемирного банка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 Внедрить экономический механизм управления водными ресурсами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(принято постановление Кабинета Министров КР) экономические механизмы управления водными ресурсами (включая нормативы, плату использования водных ресурсов, для ирригации, в сельскохозяйственном производстве).</w:t>
            </w:r>
            <w:r>
              <w:rPr>
                <w:rFonts w:ascii="Arial" w:cs="Arial" w:eastAsia="Arial" w:hAnsi="Arial"/>
                <w:sz w:val="24"/>
                <w:szCs w:val="24"/>
              </w:rPr>
              <w:t xml:space="preserve">Разработаны и внесены изменения в Кодекс о правонарушениях КР в целях введения мер по контролю за соблюдением правил использования водных ресурсов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 Выполнить земляные, строительно-монтажные работы на 6 (12) водохозяйственных объектах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Освоены 4000 гектаров новых орошаемых земель.</w:t>
            </w:r>
            <w:r>
              <w:rPr>
                <w:rFonts w:ascii="Arial" w:cs="Arial" w:eastAsia="Arial" w:hAnsi="Arial"/>
                <w:sz w:val="24"/>
                <w:szCs w:val="24"/>
              </w:rPr>
              <w:t xml:space="preserve">Мелиоративно улучшена земля на площади 17000 гектаров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СВР, проекты Всемирного банка, АБР, ИБР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 Снизить потери поливной воды на гидротехнических сооружениях на 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текущий и капитальный ремонт гидротехнических сооружений для уменьшения потери воды.</w:t>
            </w:r>
            <w:r>
              <w:rPr>
                <w:rFonts w:ascii="Arial" w:cs="Arial" w:eastAsia="Arial" w:hAnsi="Arial"/>
                <w:sz w:val="24"/>
                <w:szCs w:val="24"/>
              </w:rPr>
              <w:t xml:space="preserve">Уменьшены потери воды до 50%</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СВР, проекты Всемирного банка, АБР, ИБР</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животноводства через восстановление пастбищных ресурсов и применение инновационных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Провести мероприятия по повышению урожайности пастбищ</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Развивается семеноводство пастбищных трав.</w:t>
            </w:r>
            <w:r>
              <w:rPr>
                <w:rFonts w:ascii="Arial" w:cs="Arial" w:eastAsia="Arial" w:hAnsi="Arial"/>
                <w:sz w:val="24"/>
                <w:szCs w:val="24"/>
              </w:rPr>
              <w:t xml:space="preserve">Айылные аймаки, семеноводческие хозяйства обеспечены семенами для посева пастбищных трав.</w:t>
            </w:r>
            <w:r>
              <w:rPr>
                <w:rFonts w:ascii="Arial" w:cs="Arial" w:eastAsia="Arial" w:hAnsi="Arial"/>
                <w:sz w:val="24"/>
                <w:szCs w:val="24"/>
              </w:rPr>
              <w:t xml:space="preserve">Деградированные 80 тыс. га пастбищ улучшены путем подсева семенами пастбищных трав. Участки, подсеянные семенами пастбищных трав, будут охраняться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Улучшить систему мониторинга состояния и инфраструктуры пастбищ</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Проведено научное исследование по методу борьбы с кустарником (при финансовом содействии исследования со стороны НАН).</w:t>
            </w:r>
            <w:r>
              <w:rPr>
                <w:rFonts w:ascii="Arial" w:cs="Arial" w:eastAsia="Arial" w:hAnsi="Arial"/>
                <w:sz w:val="24"/>
                <w:szCs w:val="24"/>
              </w:rPr>
              <w:t xml:space="preserve">2. Проведены практические работы по борьбе с кустарником алтыганакарагана (улучшены 2 тыс. га пастбищ, занятых кустарником алтыганакарагана).</w:t>
            </w:r>
            <w:r>
              <w:rPr>
                <w:rFonts w:ascii="Arial" w:cs="Arial" w:eastAsia="Arial" w:hAnsi="Arial"/>
                <w:sz w:val="24"/>
                <w:szCs w:val="24"/>
              </w:rPr>
              <w:t xml:space="preserve">3. Ежегодная ротация пастбищ, позволяющая предотвратить перегрузку и деградацию почвы, а также обеспечивать равномерное использование пастбищных ресурсов на территории 800 тыс. га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МВСХПП,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Освоить малопродуктивные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Разработано, внедрено и активно используется мобильное приложение "Мониторинг пастбищ" для сбора и анализа информации, мониторинга состояния пастбищ.</w:t>
            </w:r>
            <w:r>
              <w:rPr>
                <w:rFonts w:ascii="Arial" w:cs="Arial" w:eastAsia="Arial" w:hAnsi="Arial"/>
                <w:sz w:val="24"/>
                <w:szCs w:val="24"/>
              </w:rPr>
              <w:t xml:space="preserve">2. Разработано и внедрено руководство для использования базы данных по мониторингу и оценке состояния пастбищ.</w:t>
            </w:r>
            <w:r>
              <w:rPr>
                <w:rFonts w:ascii="Arial" w:cs="Arial" w:eastAsia="Arial" w:hAnsi="Arial"/>
                <w:sz w:val="24"/>
                <w:szCs w:val="24"/>
              </w:rPr>
              <w:t xml:space="preserve">Активно используется веб-портал https://grs.slysoft.dev/ базы данных системы управления и мониторинга состояния пастбищ.</w:t>
            </w:r>
            <w:r>
              <w:rPr>
                <w:rFonts w:ascii="Arial" w:cs="Arial" w:eastAsia="Arial" w:hAnsi="Arial"/>
                <w:sz w:val="24"/>
                <w:szCs w:val="24"/>
              </w:rPr>
              <w:t xml:space="preserve">3. Разработано, утверждено Руководство по проведению местного мониторинга и оценки состояния пастбищных угодий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 Освоить малопродуктивные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малопродуктивные пастбищные земли, подлежащие освоению и восстановлению для сельскохозяйственного производства.</w:t>
            </w:r>
            <w:r>
              <w:rPr>
                <w:rFonts w:ascii="Arial" w:cs="Arial" w:eastAsia="Arial" w:hAnsi="Arial"/>
                <w:sz w:val="24"/>
                <w:szCs w:val="24"/>
              </w:rPr>
              <w:t xml:space="preserve">Проведены процедуры трансформации земель и переданы в Государственный фонд сельскохозяйственных угодий.</w:t>
            </w:r>
            <w:r>
              <w:rPr>
                <w:rFonts w:ascii="Arial" w:cs="Arial" w:eastAsia="Arial" w:hAnsi="Arial"/>
                <w:sz w:val="24"/>
                <w:szCs w:val="24"/>
              </w:rPr>
              <w:t xml:space="preserve">Малопродуктивные земли (125 тыс. га) предоставлены в аренду для освоения и осуществления сельскохозяйственного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ППП КР в областях,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 Обеспечить устойчивость применения технологии искусственного осеменения в племенном животноводстве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стабильные и непрерывные поставки качественного семенного материала для пунктов искусственного осеменения.</w:t>
            </w:r>
            <w:r>
              <w:rPr>
                <w:rFonts w:ascii="Arial" w:cs="Arial" w:eastAsia="Arial" w:hAnsi="Arial"/>
                <w:sz w:val="24"/>
                <w:szCs w:val="24"/>
              </w:rPr>
              <w:t xml:space="preserve">Комплексно внедрены технологии искусственного осеменения - искусственным осеменением охвачено 80,0% пунктов искусственного осеменения, 100,0 тыс. коров и телок осеменены искусственно и улучшены продуктивные качества коров и телок на 10%.</w:t>
            </w:r>
            <w:r>
              <w:rPr>
                <w:rFonts w:ascii="Arial" w:cs="Arial" w:eastAsia="Arial" w:hAnsi="Arial"/>
                <w:sz w:val="24"/>
                <w:szCs w:val="24"/>
              </w:rPr>
              <w:t xml:space="preserve">Введены в действие простаивающие и созданы новые пункты искусственного осеменения животных.</w:t>
            </w:r>
            <w:r>
              <w:rPr>
                <w:rFonts w:ascii="Arial" w:cs="Arial" w:eastAsia="Arial" w:hAnsi="Arial"/>
                <w:sz w:val="24"/>
                <w:szCs w:val="24"/>
              </w:rPr>
              <w:t xml:space="preserve">Ветеринары обеспечены жидким азотом для хранения семенного материала. Растет количество поголовья племенного КРС и МРС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проекта "Кредитование Агропромышленного комплекса".</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 Внедрить технологии повышения продуктивности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технологии выращивания гидропонных зеленых кормов для стойлового откорма КРС и МРС.</w:t>
            </w:r>
            <w:r>
              <w:rPr>
                <w:rFonts w:ascii="Arial" w:cs="Arial" w:eastAsia="Arial" w:hAnsi="Arial"/>
                <w:sz w:val="24"/>
                <w:szCs w:val="24"/>
              </w:rPr>
              <w:t xml:space="preserve">Расширяется применение стойлового животноводства в горных регионах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 Разработать и внедрить инструменты мониторинга производства и потребления кормов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применяются механизмы сбора информации о производстве и потреблении (количестве, типе) кормов различными видами сельскохозяйственных животных.</w:t>
            </w:r>
            <w:r>
              <w:rPr>
                <w:rFonts w:ascii="Arial" w:cs="Arial" w:eastAsia="Arial" w:hAnsi="Arial"/>
                <w:sz w:val="24"/>
                <w:szCs w:val="24"/>
              </w:rPr>
              <w:t xml:space="preserve">Разработаны стандарты (методика) оценки и учета производства и потребления кормов сельскохозяйственными животными.</w:t>
            </w:r>
            <w:r>
              <w:rPr>
                <w:rFonts w:ascii="Arial" w:cs="Arial" w:eastAsia="Arial" w:hAnsi="Arial"/>
                <w:sz w:val="24"/>
                <w:szCs w:val="24"/>
              </w:rPr>
              <w:t xml:space="preserve">Проведены обучающие мероприятия по мониторингу и учету производства и потребления кормов скотом, по методикам сбора и анализа данных.</w:t>
            </w:r>
            <w:r>
              <w:rPr>
                <w:rFonts w:ascii="Arial" w:cs="Arial" w:eastAsia="Arial" w:hAnsi="Arial"/>
                <w:sz w:val="24"/>
                <w:szCs w:val="24"/>
              </w:rPr>
              <w:t xml:space="preserve">Проведены анализ и обработка данных, выявлены тенденции в производстве и потреблении кормов различными видами скота, проблемы, недостатки в рационах кормления.</w:t>
            </w:r>
            <w:r>
              <w:rPr>
                <w:rFonts w:ascii="Arial" w:cs="Arial" w:eastAsia="Arial" w:hAnsi="Arial"/>
                <w:sz w:val="24"/>
                <w:szCs w:val="24"/>
              </w:rPr>
              <w:t xml:space="preserve">Проведены мероприятия по достижению баланса между производством кормов и его потреблением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 Провести анализ и обучение по применению комбикормов для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кампании, обучающие семинары и консультации для фермеров и животноводов по вопросам правильного применения и выбора комбикормов для сельскохозяйственных животных.</w:t>
            </w:r>
            <w:r>
              <w:rPr>
                <w:rFonts w:ascii="Arial" w:cs="Arial" w:eastAsia="Arial" w:hAnsi="Arial"/>
                <w:sz w:val="24"/>
                <w:szCs w:val="24"/>
              </w:rPr>
              <w:t xml:space="preserve">Проведен мониторинг рынка комбикормов для оценки спроса, анализа конкуренции и выявления проблемных ситуаций в сфере производства и использования комбикормов.</w:t>
            </w:r>
            <w:r>
              <w:rPr>
                <w:rFonts w:ascii="Arial" w:cs="Arial" w:eastAsia="Arial" w:hAnsi="Arial"/>
                <w:sz w:val="24"/>
                <w:szCs w:val="24"/>
              </w:rPr>
              <w:t xml:space="preserve">Осуществляется взаимообмен опытом и координация действий в сфере использования комбикормов для сельскохозяйственных животных госорганов с научными учреждениями, ассоциациями производителей, фермерскими ассоциациями и международными организациями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устойчивого земледелия через развитие методов органического земледелия, управление почвенным плодородием</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положения о сертификации органического производства, о системе гарантийного участия PGS</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прохождения сертификации органического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КЦА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 Увеличить количество сертифицированных операторов органического производства, в том числе женщин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по сертификации органической продукции прошли аккредитацию и осуществляют сертификацию органического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КЦА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базе существующих лабораторий созданы 2 (две) аккредитованные лаборатории, оснащенные современным оборудованием, отвечающим международным стандартам, для проведения испытаний органической продукции.</w:t>
            </w:r>
            <w:r>
              <w:rPr>
                <w:rFonts w:ascii="Arial" w:cs="Arial" w:eastAsia="Arial" w:hAnsi="Arial"/>
                <w:sz w:val="24"/>
                <w:szCs w:val="24"/>
              </w:rPr>
              <w:t xml:space="preserve">Лаборатории оказывают услуги фермерам и операторам органического производства по доступной цене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 Увеличить количество сертифицированных операторов органического производства, в том числе женщин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Увеличилось количество операторов органического производства, прошедших сертификацию органического производства.</w:t>
            </w:r>
            <w:r>
              <w:rPr>
                <w:rFonts w:ascii="Arial" w:cs="Arial" w:eastAsia="Arial" w:hAnsi="Arial"/>
                <w:sz w:val="24"/>
                <w:szCs w:val="24"/>
              </w:rPr>
              <w:t xml:space="preserve">Создан и ведется реестр производителей и переработчиков органической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 Увеличить площадь земельных участков, занятых под органическое производство</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ежегодное увеличение площадей под органическим сельскохозяйственным производством (66000 га в 2025 году и по 1500 га ежегодно).</w:t>
            </w:r>
            <w:r>
              <w:rPr>
                <w:rFonts w:ascii="Arial" w:cs="Arial" w:eastAsia="Arial" w:hAnsi="Arial"/>
                <w:sz w:val="24"/>
                <w:szCs w:val="24"/>
              </w:rPr>
              <w:t xml:space="preserve">Улучшено состояние почв повышаются доходы и количество операторов органического производства, экспортирующих органическую продукцию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 Возродить семенной фонд для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Использование местных сортов семян, адаптированных к климатическим условиям региона, может повысить устойчивость растений к стрессовым условиям и вредителям, что приводит к увеличению урожайности.</w:t>
            </w:r>
            <w:r>
              <w:rPr>
                <w:rFonts w:ascii="Arial" w:cs="Arial" w:eastAsia="Arial" w:hAnsi="Arial"/>
                <w:sz w:val="24"/>
                <w:szCs w:val="24"/>
              </w:rPr>
              <w:t xml:space="preserve">2. Снижение затрат на семена. Фермеры могут снизить расходы на закупку семян, так как смогут использовать семена, произведенные и сохраненные на местном уровне.</w:t>
            </w:r>
            <w:r>
              <w:rPr>
                <w:rFonts w:ascii="Arial" w:cs="Arial" w:eastAsia="Arial" w:hAnsi="Arial"/>
                <w:sz w:val="24"/>
                <w:szCs w:val="24"/>
              </w:rPr>
              <w:t xml:space="preserve">3. Снижение использования химических средств защиты растений. Органические семена, устойчивые к местным вредителям и болезням, сокращают необходимость использования химических пестицидов и удобрений, что снижает затраты на агрохимикаты и уменьшает негативное воздействие на окружающую среду.</w:t>
            </w:r>
            <w:r>
              <w:rPr>
                <w:rFonts w:ascii="Arial" w:cs="Arial" w:eastAsia="Arial" w:hAnsi="Arial"/>
                <w:sz w:val="24"/>
                <w:szCs w:val="24"/>
              </w:rPr>
              <w:t xml:space="preserve">4. Повышение качества продукции. Органическое производство с использованием качественных семян приводит к получению более здоровых и питательных продуктов, что повышает их рыночную стоимость и привлекательность для потребителей.</w:t>
            </w:r>
            <w:r>
              <w:rPr>
                <w:rFonts w:ascii="Arial" w:cs="Arial" w:eastAsia="Arial" w:hAnsi="Arial"/>
                <w:sz w:val="24"/>
                <w:szCs w:val="24"/>
              </w:rPr>
              <w:t xml:space="preserve">5. Сохранение и восстановление почвы. Устойчивые органические практики ведут к улучшению структуры и плодородия почвы, что способствует долгосрочной продуктивности сельскохозяйственных земель.</w:t>
            </w:r>
            <w:r>
              <w:rPr>
                <w:rFonts w:ascii="Arial" w:cs="Arial" w:eastAsia="Arial" w:hAnsi="Arial"/>
                <w:sz w:val="24"/>
                <w:szCs w:val="24"/>
              </w:rPr>
              <w:t xml:space="preserve">6. Развитие местного органического семеноводства. Создание и поддержка местных семеноводческих компаний и инициатив способствуют экономическому развитию сельских территорий и созданию рабочих мест.</w:t>
            </w:r>
            <w:r>
              <w:rPr>
                <w:rFonts w:ascii="Arial" w:cs="Arial" w:eastAsia="Arial" w:hAnsi="Arial"/>
                <w:sz w:val="24"/>
                <w:szCs w:val="24"/>
              </w:rPr>
              <w:t xml:space="preserve">7. Снижение зависимости от импортных семян. Развитие собственного семенного фонда уменьшает зависимость от внешних поставок семян, что особенно важно в условиях рыночной нестабильности и геополитических рисков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 Улучшить селекцию и естественную устойчивость пчел</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Внедрено породное районирование органического пчеловодства.</w:t>
            </w:r>
            <w:r>
              <w:rPr>
                <w:rFonts w:ascii="Arial" w:cs="Arial" w:eastAsia="Arial" w:hAnsi="Arial"/>
                <w:sz w:val="24"/>
                <w:szCs w:val="24"/>
              </w:rPr>
              <w:t xml:space="preserve">2. Использованы пчелы для увеличения урожайности сельскохозяйственных культур.</w:t>
            </w:r>
            <w:r>
              <w:rPr>
                <w:rFonts w:ascii="Arial" w:cs="Arial" w:eastAsia="Arial" w:hAnsi="Arial"/>
                <w:sz w:val="24"/>
                <w:szCs w:val="24"/>
              </w:rPr>
              <w:t xml:space="preserve">3. Организованы учебные тренинги по пчеловодству. Усилено сотрудничество с учебными учреждениями для подготовки специалистов органического пчеловодства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Ассоциация пчеловодов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Ассоциации пчеловодов КР.</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 Внедрить механизмы мониторинга рисков применения ядохимикатов для пчеловодства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Внедрено мобильное приложение "Пчеловодство" в целях мониторинга применения химикатов.</w:t>
            </w:r>
            <w:r>
              <w:rPr>
                <w:rFonts w:ascii="Arial" w:cs="Arial" w:eastAsia="Arial" w:hAnsi="Arial"/>
                <w:sz w:val="24"/>
                <w:szCs w:val="24"/>
              </w:rPr>
              <w:t xml:space="preserve">2. Организованы и проведены информационные и обучающие тренинги для фермеров, ОМСУ по рискам применения ядохимикатов для пчел и влияния на урожайность с/х культур.</w:t>
            </w:r>
            <w:r>
              <w:rPr>
                <w:rFonts w:ascii="Arial" w:cs="Arial" w:eastAsia="Arial" w:hAnsi="Arial"/>
                <w:sz w:val="24"/>
                <w:szCs w:val="24"/>
              </w:rPr>
              <w:t xml:space="preserve">3. Ограничено применение агрохимикатов, внедрено применение современных органических удобрений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Ассоциация пчеловодов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Ассоциации пчеловодов КР.</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4.4.10. Распространить ресурсосберегающие технологии для повышения плодородия почвы и адаптации к изменению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площади применения нулевой обработки почвы с 2500 га до 10000 га богарных земель путем широкого информирования фермеров и машинно-тракторных станций.</w:t>
            </w:r>
            <w:r>
              <w:rPr>
                <w:rFonts w:ascii="Arial" w:cs="Arial" w:eastAsia="Arial" w:hAnsi="Arial"/>
                <w:sz w:val="24"/>
                <w:szCs w:val="24"/>
              </w:rPr>
              <w:t xml:space="preserve">Мотивация МТС путем субсидирования сеялок прямого посева.</w:t>
            </w:r>
            <w:r>
              <w:rPr>
                <w:rFonts w:ascii="Arial" w:cs="Arial" w:eastAsia="Arial" w:hAnsi="Arial"/>
                <w:sz w:val="24"/>
                <w:szCs w:val="24"/>
              </w:rPr>
              <w:t xml:space="preserve">Проведены обучающие тренинги по ресурсосберегающим технологиям в сельском хозяйстве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4.4.11. Распространить ресурсосберегающие технологии для повышения плодородия почвы и адаптации к изменению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по проведению анализа почвы, разработаны и размещены на сайте МВСХПП - фермеры доступ к информации через сайт МВСХПП и мобильное приложение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 ГПИ "Кыргызгипрозем"</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 Разработать и организовать мероприятия для маркетингового продвижения органической продукции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исследование рынка (анализ потребительских предпочтений, изучение конкурентов и спроса на органические продукты).</w:t>
            </w:r>
            <w:r>
              <w:rPr>
                <w:rFonts w:ascii="Arial" w:cs="Arial" w:eastAsia="Arial" w:hAnsi="Arial"/>
                <w:sz w:val="24"/>
                <w:szCs w:val="24"/>
              </w:rPr>
              <w:t xml:space="preserve">Разработана и утверждена Маркетинговая стратегия.</w:t>
            </w:r>
            <w:r>
              <w:rPr>
                <w:rFonts w:ascii="Arial" w:cs="Arial" w:eastAsia="Arial" w:hAnsi="Arial"/>
                <w:sz w:val="24"/>
                <w:szCs w:val="24"/>
              </w:rPr>
              <w:t xml:space="preserve">Заключены соглашения с другими странами по признанию эквивалентности систем и правил органического производства.</w:t>
            </w:r>
            <w:r>
              <w:rPr>
                <w:rFonts w:ascii="Arial" w:cs="Arial" w:eastAsia="Arial" w:hAnsi="Arial"/>
                <w:sz w:val="24"/>
                <w:szCs w:val="24"/>
              </w:rPr>
              <w:t xml:space="preserve">Организовано участие производителей органической продукции в специализированных выставках и бизнес-миссиях за рубежом.</w:t>
            </w:r>
            <w:r>
              <w:rPr>
                <w:rFonts w:ascii="Arial" w:cs="Arial" w:eastAsia="Arial" w:hAnsi="Arial"/>
                <w:sz w:val="24"/>
                <w:szCs w:val="24"/>
              </w:rPr>
              <w:t xml:space="preserve">Создана гендерно-дезагрегированная база данных сельскохозяйственных производителей и переработчиков "зеленого" сельского хозяйства в целях маркетингового продвижения.</w:t>
            </w:r>
            <w:r>
              <w:rPr>
                <w:rFonts w:ascii="Arial" w:cs="Arial" w:eastAsia="Arial" w:hAnsi="Arial"/>
                <w:sz w:val="24"/>
                <w:szCs w:val="24"/>
              </w:rPr>
              <w:t xml:space="preserve">Создана онлайн площадка (маркет плейс) для продажи органической продукции мелких органических производителей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4.4.13. Внедрить механизмы мониторинга состояния почв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земельного фонда КР с формированием цифровой карты земельных угодий сельскохозяйственного и иного назначения.</w:t>
            </w:r>
            <w:r>
              <w:rPr>
                <w:rFonts w:ascii="Arial" w:cs="Arial" w:eastAsia="Arial" w:hAnsi="Arial"/>
                <w:sz w:val="24"/>
                <w:szCs w:val="24"/>
              </w:rPr>
              <w:t xml:space="preserve">Проведены почвенно-агрохимические исследования, на основе которого:</w:t>
            </w:r>
            <w:r>
              <w:rPr>
                <w:rFonts w:ascii="Arial" w:cs="Arial" w:eastAsia="Arial" w:hAnsi="Arial"/>
                <w:sz w:val="24"/>
                <w:szCs w:val="24"/>
              </w:rPr>
              <w:t xml:space="preserve">- сформирована система контроля и мониторинга сохранения и повышения плодородия почв;</w:t>
            </w:r>
            <w:r>
              <w:rPr>
                <w:rFonts w:ascii="Arial" w:cs="Arial" w:eastAsia="Arial" w:hAnsi="Arial"/>
                <w:sz w:val="24"/>
                <w:szCs w:val="24"/>
              </w:rPr>
              <w:t xml:space="preserve">- создан банк данных плодородия почв земель сельскохозяйственного назначения.</w:t>
            </w:r>
            <w:r>
              <w:rPr>
                <w:rFonts w:ascii="Arial" w:cs="Arial" w:eastAsia="Arial" w:hAnsi="Arial"/>
                <w:sz w:val="24"/>
                <w:szCs w:val="24"/>
              </w:rPr>
              <w:t xml:space="preserve">Проведено усовершенствование и модернизация АИС "Топурак-А" для мониторинга состояния почв.</w:t>
            </w:r>
            <w:r>
              <w:rPr>
                <w:rFonts w:ascii="Arial" w:cs="Arial" w:eastAsia="Arial" w:hAnsi="Arial"/>
                <w:sz w:val="24"/>
                <w:szCs w:val="24"/>
              </w:rPr>
              <w:t xml:space="preserve">Разработано положение "Об агрохимическом обследовании почв"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ГАЗР, МВСХПП, МПРЭТН, ГПИ "Кыргызгипрозем",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посредством улучшения информирования, обучения и образования в сфере "зеленого" сельского хозяйства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Провести информационные и обучающие мероприятия для фермеров и сельскохозяйственных производителей, в том числе женщин, по правилам и нормам ведения сельскохозяйственного производства, методам и технологиям применения ресурсосберегающих, "зеленых" технологий производства продукции, применения биогумуса, выращивания кормов на гидропонике и т.п. через СМИ и социальные сети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ежеквартальной основе III кв. 2025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Проведены образовательные обучающие тренинги, программы для фермеров, населения о зеленом сельском хозяйстве и его выгодах, о пользе биогумуса, о выращивании кормов на гидропонике и т.п. через СМИ и социальные сети.</w:t>
            </w:r>
            <w:r>
              <w:rPr>
                <w:rFonts w:ascii="Arial" w:cs="Arial" w:eastAsia="Arial" w:hAnsi="Arial"/>
                <w:sz w:val="24"/>
                <w:szCs w:val="24"/>
              </w:rPr>
              <w:t xml:space="preserve">2. Фермеры хорошо информированы о технологии переработки отходов животноводства посредством использования биогумуса, о технологии выращивания кормов на гидропонике для КРС и МРС, обучены правилам и нормам ведения сельскохозяйственного производства (анализ почв, севооборот и т.д.).</w:t>
            </w:r>
            <w:r>
              <w:rPr>
                <w:rFonts w:ascii="Arial" w:cs="Arial" w:eastAsia="Arial" w:hAnsi="Arial"/>
                <w:sz w:val="24"/>
                <w:szCs w:val="24"/>
              </w:rPr>
              <w:t xml:space="preserve">Организовано практическое обучение фермеров на успешных производствах органической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Кыргызгипрозем, КНАУ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Провести консультационные, обучающие мероприятия для фермеров, в том числе женщин, по применению инновационных аграрных технологий, в том числе органического сельскохозяйственного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Оказаны консультационные услуги и проведено обучение фермеров по применению инновационных аграрных технологий, навыкам, правилам и нормам ведения сельскохозяйственного производства (анализ почв, севооборот и т.д.). Улучшена деятельность фермерских хозяйств, занимающихся органическим сельскохозяйственным производством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по согласованию: КНАУ, ФАО (по согласованию), международные организации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Повысить потенциал представителей госорганов, ОМСУ и операторов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и проведены обучающие туры, участие на выставках в развитых странах с передовым опытом органического производства.</w:t>
            </w:r>
            <w:r>
              <w:rPr>
                <w:rFonts w:ascii="Arial" w:cs="Arial" w:eastAsia="Arial" w:hAnsi="Arial"/>
                <w:sz w:val="24"/>
                <w:szCs w:val="24"/>
              </w:rPr>
              <w:t xml:space="preserve">Изучен передовой опыт и начато их внедрение. Налажены контакты с зарубежными партнерами по органическому производству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 Разработать и внедрить в программу высшего, среднего профессионального образования учебные предметы по "зеленому" сельскому хозяйству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программу высшего и среднего профессионального образования включены предметы по "зеленому" сельскому хозяйству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к климатическим изменениям и уменьшение их негативных воздействий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 Укрепить и совершенствовать информационные и научные основы в области агрометеорологии для сельского хозяйства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 выпущены обновленные электронные справочники "Агрометеорологические ресурсы" для областей Кыргызстана.</w:t>
            </w:r>
            <w:r>
              <w:rPr>
                <w:rFonts w:ascii="Arial" w:cs="Arial" w:eastAsia="Arial" w:hAnsi="Arial"/>
                <w:sz w:val="24"/>
                <w:szCs w:val="24"/>
              </w:rPr>
              <w:t xml:space="preserve">Для заинтересованных сторон (министерства, консалтинговые службы и др.) подготовлены справочники с необходимой дополнительной информацией, необходимой для данных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МВСХПП, 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 Повысить уровень осведомленности в области климатических рисков в сельском хозяйстве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Выпущены периодические электронные информационные материалы по изменению климата (климатический бюллетень) в Кыргызстане с акцентом на сельское хозяйство.</w:t>
            </w:r>
            <w:r>
              <w:rPr>
                <w:rFonts w:ascii="Arial" w:cs="Arial" w:eastAsia="Arial" w:hAnsi="Arial"/>
                <w:sz w:val="24"/>
                <w:szCs w:val="24"/>
              </w:rPr>
              <w:t xml:space="preserve">Подготовлены и опубликованы научные публикации по взаимосвязи современного климата и сельского хозяйства.</w:t>
            </w:r>
            <w:r>
              <w:rPr>
                <w:rFonts w:ascii="Arial" w:cs="Arial" w:eastAsia="Arial" w:hAnsi="Arial"/>
                <w:sz w:val="24"/>
                <w:szCs w:val="24"/>
              </w:rPr>
              <w:t xml:space="preserve">Научно обоснованы влияние изменения климата и климатических рисков на выбор сельскохозяйственных культур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НАН,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 Провести мероприятия в целях обеспечения адаптации сельского хозяйства к медленно развивающимся рискам - засухе и маловодью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нормы водопотребления для основных сельхозкультур с учетом изменений климата.</w:t>
            </w:r>
            <w:r>
              <w:rPr>
                <w:rFonts w:ascii="Arial" w:cs="Arial" w:eastAsia="Arial" w:hAnsi="Arial"/>
                <w:sz w:val="24"/>
                <w:szCs w:val="24"/>
              </w:rPr>
              <w:t xml:space="preserve">Установлены малогабаритные автоматические станции на опытных станциях.</w:t>
            </w:r>
            <w:r>
              <w:rPr>
                <w:rFonts w:ascii="Arial" w:cs="Arial" w:eastAsia="Arial" w:hAnsi="Arial"/>
                <w:sz w:val="24"/>
                <w:szCs w:val="24"/>
              </w:rPr>
              <w:t xml:space="preserve">Внедрены современные водосберегающие технологии для орошения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 Повысить уровень готовности к погодным рискам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прогностической информации и системе раннего оповещения об опасных погодных явлениях (заморозки, сильные осадки, резкое изменение погоды) для фермеров и животноводов (через таргетные СМС, общедоступные информационные порталы).</w:t>
            </w:r>
            <w:r>
              <w:rPr>
                <w:rFonts w:ascii="Arial" w:cs="Arial" w:eastAsia="Arial" w:hAnsi="Arial"/>
                <w:sz w:val="24"/>
                <w:szCs w:val="24"/>
              </w:rPr>
              <w:t xml:space="preserve">Разработано мобильное приложение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 Внедрить засухоустойчивые, безвирусные и солеустойчивые сорта сельскохозяйственных культур с учетом районирования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Засухоустойчивые, безвирусные и солеустойчивые сорта сельскохозяйственных культур внедрены в сельскохозяйственное производство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Недропользование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изменения в нормативные правовые акты в сфере недропользования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Определить перечень НПА, регулирующих сферу экологического контроля, надзора, мониторинга, для решения вопроса по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НПА для решения вопроса по рекультивации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Разработать методику экономической оценки ущерба ресурсам недр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методика экономической оценки ущерба ресурсам недр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 Разработать методику расчета рекультивационных работ (с учетом будущей стоимости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методика расчета рекультивационных работ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Разработать проект постановления Кабинета Министров КР "О внесении изменений в постановление Правительства Кыргызской Республики "Об утверждении Методики определения платы за загрязнение окружающей среды в Кыргызской Республике" от 19 сентября 2011 года № 559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Кабинета Министров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фондом рекультивации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Разработать проект Закона КР "О внесении изменений в </w:t>
            </w:r>
            <w:hyperlink w:history="1" r:id="rIddqfigdntvstcjqzkkzsv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 части регулирования фонда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Закон КР "О внесении изменений в </w:t>
            </w:r>
            <w:hyperlink w:history="1" r:id="rIdhtph_fwgeadyfju8pxjc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Создать единый Государственный фонд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государственный фонд рекультивации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горнодобывающих предприятий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Разработать механизм работы Государственного фонда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организационно-управленческая структура фонда с взаимодействием с другими органами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единую информационную систему в сфере недропользования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Создать информационный портал</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портал запущен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Разработать АИС "Личный кабинет недропользователя"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 "Личный кабинет недропользователя" функционирует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Внедрить систему электронный аукцион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лицензий осуществляется через Электронный аукцион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Низкоэмиссионный транспорт</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 населения экологической культуры и знаний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 Провести информационные кампании для повышения осведомленности населения и владельцев транспортных средств о преимуществах электромобилей и о вреде выбросов СО</w:t>
            </w:r>
            <w:r>
              <w:rPr>
                <w:rFonts w:ascii="Arial" w:cs="Arial" w:eastAsia="Arial" w:hAnsi="Arial"/>
                <w:sz w:val="20"/>
                <w:szCs w:val="20"/>
              </w:rPr>
              <w:t xml:space="preserve">2</w:t>
            </w:r>
            <w:r>
              <w:rPr>
                <w:rFonts w:ascii="Arial" w:cs="Arial" w:eastAsia="Arial" w:hAnsi="Arial"/>
                <w:sz w:val="24"/>
                <w:szCs w:val="24"/>
              </w:rPr>
              <w:t xml:space="preserve"> (видеоролики, исследования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информационные материалы, проведены тематические мероприятия, повышена информированность общества по вопросам воздействия транспортного сектора на здоровье граждан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МЗ, МТК,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 Разработать и внедрить в профессиональные образовательные программы направления по подготовке специалистов в сфере сервисного обслуживания электромобилей и эксплуатации батарей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специальные образовательные программы внесены направления по обучению обслуживания и эксплуатации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МЭК, МТСОМ</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мер для увеличения доли электротранспорта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 Проработать вопрос открытия официальных дилерских центров производителей широко распространенных марок электромобилей, в том числе с проработкой вопроса интеграции дилерских центров стран центральноазиатского региона в Кыргызскую Республику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 дилерские центры, предоставляющие различные варианты приобретения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МИД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собственных средств компаний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 Расширить кредитные продукты с приемлемыми процентными ставками для видов электротранспорта, в том числе на виды микромобильного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кредитные продукты для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ГБР, ОАО "Айыл банк", ОАО "Керемет банк", ОАО "Элдик банк", коммерческие банки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 Внедрить лизинговую систему с приемлемыми ставками для электрической спецтехники (сельхоз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лизинговая система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МВСХПП, по согласованию: ГБР, коммерческие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 Внедрить преференции по использованию электромобилей:</w:t>
            </w:r>
            <w:r>
              <w:rPr>
                <w:rFonts w:ascii="Arial" w:cs="Arial" w:eastAsia="Arial" w:hAnsi="Arial"/>
                <w:sz w:val="24"/>
                <w:szCs w:val="24"/>
              </w:rPr>
              <w:t xml:space="preserve">- возможные варианты скидочной системы на разрешение тонировки передних боковых стекол электромобиля;</w:t>
            </w:r>
            <w:r>
              <w:rPr>
                <w:rFonts w:ascii="Arial" w:cs="Arial" w:eastAsia="Arial" w:hAnsi="Arial"/>
                <w:sz w:val="24"/>
                <w:szCs w:val="24"/>
              </w:rPr>
              <w:t xml:space="preserve">- льготная страховка для электромобилей;</w:t>
            </w:r>
            <w:r>
              <w:rPr>
                <w:rFonts w:ascii="Arial" w:cs="Arial" w:eastAsia="Arial" w:hAnsi="Arial"/>
                <w:sz w:val="24"/>
                <w:szCs w:val="24"/>
              </w:rPr>
              <w:t xml:space="preserve">- рассмотрение возможности внедрения льготной/бесплатной парковки для электротранспорта на всех муниципальных парковках города Бишкек и Ош, которые арендуют землю у мэрии городов;</w:t>
            </w:r>
            <w:r>
              <w:rPr>
                <w:rFonts w:ascii="Arial" w:cs="Arial" w:eastAsia="Arial" w:hAnsi="Arial"/>
                <w:sz w:val="24"/>
                <w:szCs w:val="24"/>
              </w:rPr>
              <w:t xml:space="preserve">- освобождение электромобилей от уплаты за въезд в экологические заповедники (Ала-Арча)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преференции, повышен стимул использования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 ГАРТСВС, МЭК (Госфиннадзор), МПРТЭН, ОАО "ГСО"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 Установить ценовой лимит на электромобили, на которые распространяются преференции и стимулирующие механизмы (Градация будет определена путем общественных обсуждений).</w:t>
            </w:r>
            <w:r>
              <w:rPr>
                <w:rFonts w:ascii="Arial" w:cs="Arial" w:eastAsia="Arial" w:hAnsi="Arial"/>
                <w:sz w:val="24"/>
                <w:szCs w:val="24"/>
              </w:rPr>
              <w:t xml:space="preserve">Ориентировочно предел установить в размере 25 тыс. долларов США (указать другие технические параметры: дальность хода - не менее 300 км, срок эксплуатации - не менее 8 лет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Мера направлена на увеличение количества электромобилей для населения со средним достатком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 Ввести запрет на ввоз технически неудовлетворительных (пробег, срок службы батареи)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критерии электромобилей, завоз которых нецелесообразен с точки зрения износа технологии и вопроса утилизации батарей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вредных выбросов от транспортного сектора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 Внедрить инструменты стимулирования использования гражданами муниципального общественного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постоянно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граждан, использующих муниципальный общественный транспорт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 Провести информационные кампании о преимуществах использования общественного транспорта, таких как экономия времени и денег, уменьшение транспортных пробок, снижение вредных выбросов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информационные материалы, проведены тематические мероприятия, повышена информированность общества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МПРЭТН, МЗ, МЭК, МТК,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 Передача на обслуживание муниципальным операторам городов Бишкек и Ош маршрутов с наибольшим пассажиропотоком по итогам поэтапной закупки нового муниципального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Маршруты обслуживаются муниципальными операторами города Бишкек и Ош, увеличена доля общественного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 Провести поэтапную закупку 200 единиц новых электроавтобусов для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доля общественного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 Запустить муниципальные линии электротакси город Бишкек - аэропорт "Манас" и Ош - аэропорт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такси на электромобилях из/в аэропорты "Манас" и "Ош" с возможностью онлайн бронирования/заказа и выдачи ваучеров на стойках представителей такси в залах прилетов. Ликвидированы такси на старых авто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туризма, ОАО "Аэропорты Кыргызстана", мэрии г.Бишкек и г.Ош,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 Провести анализ на предмет внедрения отдельных транспортных линий только для муниципального общественного транспорта и электромобилей в городах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и выработаны предложения по изменению схем транспортного движения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 Провести анализ на предмет внедрения транспортных колец общественного транспорта в городе Бишкек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и выработаны предложения по изменению схем движения муниципального общественного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 Изменить функциональность и длительность светофоров на наиболее загруженных улицах городов Бишкек и Ош, где часто возникают заторы, в том числе с определением раздельного времени для пешеходов и автомашин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заторы (уменьшены вредные выбросы), особенно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 Расширить сеть светофоров, в том числе с учетом установки "умных светофоров"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сеть "умных светофоров", установлены умные светофоры для уменьшения заторов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6.3.10. Актуализировать законодательство в сфере технических регламентов и стандартов, касающихся вредных выбросов транспортных средств, в том числе в части введения технического осмотра для автомототранспорта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регламенты и стандарты, внедрен технический осмотр транспортных средств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ГАРТСВС, МЭК,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 Ввести ограничения на движение транспортных средств с высоким уровнем выбросов в центральной части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вредные выбросы, особенно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МПРЭТН, МВД (ГУОБДД), ГАРТСВС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6.3.12. Увеличить пешеходные переходы в центральной части городов Бишкек и Ош (подземные, диагональные, разметки и другие)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заторы (уменьшены вредные выбросы)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6.3.13. Провести пилотный проект по организации специальных парковочных мест только для электромобилей с доступом к зарядной станции в деловом центре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специальных парковочных зон для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 МЭ, МПРЭТН,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6.3.14. Внедрить концепт утилизационного сбора на импорт автомашин, в том числе при регистрации в Кыргызской Республике автомашин со стран-участниц ЕАЭС (за исключением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утилизационный сбор на весь транспорт, за исключением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МФ, ГАРТСВС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 Внедрить концепт справедливой социально-экологической ответственности для поставщиков электромобилей на территорию Кыргызской Республики в части обеспечения ими сбора и утилизации использованных батарей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концепт "Справедливой социально-экологической ответственности" для поставщиков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 Разработать положение по сбору использованных батарей от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регламент складирования и перевозки использованных батарей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МПРТЭН,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Альтернативный вид транспорта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 Внедрить комплексную и безопасную велоинфраструктуру, включая велодорожки, парковки и прокатные пункты, в том числе для микромобильности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активного и здорового образа жизни, популяризации велосипедного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МВД, МТК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 Провести анализ развития сферы электросамокатов, также предусматривающих вопросы:</w:t>
            </w:r>
            <w:r>
              <w:rPr>
                <w:rFonts w:ascii="Arial" w:cs="Arial" w:eastAsia="Arial" w:hAnsi="Arial"/>
                <w:sz w:val="24"/>
                <w:szCs w:val="24"/>
              </w:rPr>
              <w:t xml:space="preserve">- создания специальных парковочных зон для электросамокатов;</w:t>
            </w:r>
            <w:r>
              <w:rPr>
                <w:rFonts w:ascii="Arial" w:cs="Arial" w:eastAsia="Arial" w:hAnsi="Arial"/>
                <w:sz w:val="24"/>
                <w:szCs w:val="24"/>
              </w:rPr>
              <w:t xml:space="preserve">- внедрения технологий ограничения автоматического снижения скорости движения электросамокатов на определенных участках и запрет в парковых зонах в определенное время дня;</w:t>
            </w:r>
            <w:r>
              <w:rPr>
                <w:rFonts w:ascii="Arial" w:cs="Arial" w:eastAsia="Arial" w:hAnsi="Arial"/>
                <w:sz w:val="24"/>
                <w:szCs w:val="24"/>
              </w:rPr>
              <w:t xml:space="preserve">- ввода правил по управлению электросамокатов только лицам, имеющим право на управление ТС (программное внедрение через операторов)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адаптивные меры регулирования на основе анализа развития микромобильности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(по согласованию), МВД, операторы электросамокатов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 Провести образовательные кампании о безопасном использовании электросамокатов, правилах дорожного движения, особенностях управления электросамокатами и необходимости соблюдения скоростного режима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Пользователи микромобильного типа транспорта осведомлены о специфике управления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(по согласованию), МВД, операторы электросамокатов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 Внедрить систему ограничения скорости движения электросамокатов (принять стандарт об ограничении скорости)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стандарты и правила скорости по зонам.</w:t>
            </w:r>
            <w:r>
              <w:rPr>
                <w:rFonts w:ascii="Arial" w:cs="Arial" w:eastAsia="Arial" w:hAnsi="Arial"/>
                <w:sz w:val="24"/>
                <w:szCs w:val="24"/>
              </w:rPr>
              <w:t xml:space="preserve">Внедрен запрет скорости в парковых зонах не более 10 км в час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электрозарядной инфраструктуры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 Внести изменения в НПА и решения ОМСУ в части сокращения оптимизации истребуемой документации и сроков предоставления земельных участков и технических условий для установки зарядных станций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Сокращены сроки предоставления всех видов разрешений и технических условий для установки зарядных станций в совокупности до 100 календарных дней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ОМСУ (по согласованию), МЭ, МПРЭТН, МТК, МВД,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 Провести анализ автомобильных дорог на территории Кыргызской Республики, имеющих международное значение(2) и определить локации для установки электрозарядных станций.</w:t>
            </w:r>
            <w:r>
              <w:rPr>
                <w:rFonts w:ascii="Arial" w:cs="Arial" w:eastAsia="Arial" w:hAnsi="Arial"/>
                <w:sz w:val="24"/>
                <w:szCs w:val="24"/>
              </w:rPr>
              <w:t xml:space="preserve">Расстояние между локациями должно быть не менее 70 км и не более 200 км, в том числе на дорогах:</w:t>
            </w:r>
            <w:r>
              <w:rPr>
                <w:rFonts w:ascii="Arial" w:cs="Arial" w:eastAsia="Arial" w:hAnsi="Arial"/>
                <w:sz w:val="24"/>
                <w:szCs w:val="24"/>
              </w:rPr>
              <w:t xml:space="preserve">- Бишкек - Нарын - Торугарт;</w:t>
            </w:r>
            <w:r>
              <w:rPr>
                <w:rFonts w:ascii="Arial" w:cs="Arial" w:eastAsia="Arial" w:hAnsi="Arial"/>
                <w:sz w:val="24"/>
                <w:szCs w:val="24"/>
              </w:rPr>
              <w:t xml:space="preserve">- Бишкек - Ош;</w:t>
            </w:r>
            <w:r>
              <w:rPr>
                <w:rFonts w:ascii="Arial" w:cs="Arial" w:eastAsia="Arial" w:hAnsi="Arial"/>
                <w:sz w:val="24"/>
                <w:szCs w:val="24"/>
              </w:rPr>
              <w:t xml:space="preserve">- Бишкек - Каракол;</w:t>
            </w:r>
            <w:r>
              <w:rPr>
                <w:rFonts w:ascii="Arial" w:cs="Arial" w:eastAsia="Arial" w:hAnsi="Arial"/>
                <w:sz w:val="24"/>
                <w:szCs w:val="24"/>
              </w:rPr>
              <w:t xml:space="preserve">- Ош - Сарыташ - Иркештам;</w:t>
            </w:r>
            <w:r>
              <w:rPr>
                <w:rFonts w:ascii="Arial" w:cs="Arial" w:eastAsia="Arial" w:hAnsi="Arial"/>
                <w:sz w:val="24"/>
                <w:szCs w:val="24"/>
              </w:rPr>
              <w:t xml:space="preserve">- Ош - Баткен - Исфана;</w:t>
            </w:r>
            <w:r>
              <w:rPr>
                <w:rFonts w:ascii="Arial" w:cs="Arial" w:eastAsia="Arial" w:hAnsi="Arial"/>
                <w:sz w:val="24"/>
                <w:szCs w:val="24"/>
              </w:rPr>
              <w:t xml:space="preserve">- Север - Юг;</w:t>
            </w:r>
            <w:r>
              <w:rPr>
                <w:rFonts w:ascii="Arial" w:cs="Arial" w:eastAsia="Arial" w:hAnsi="Arial"/>
                <w:sz w:val="24"/>
                <w:szCs w:val="24"/>
              </w:rPr>
              <w:t xml:space="preserve">- Иссык-Кульская кольцевая автодорога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локации для установки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МТК, МЭ,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 Сформировать инвестиционные лоты по определенным локациям и объявить открытый конкурс по ним, в том числе с возможностью участия иностранных компаний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инвестиционные лоты и объявлен конкурс на установку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 МЭК,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 Оказать поддержку национальным компаниям, экономическая деятельность которых прямо связана с установкой электрозарядных станций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инструменты кредитования с приемлемыми низкими ставками для электрозарядной инфраструктуры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ГБР, ОАО "Айыл банк", ОАО "Керемет банк", ОАО "Элдик банк", коммерческие банки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 Объединить операторов электрозарядной инфраструктуры на единой платформе с ее последующей интеграцией в интерактивную карту развития зарядной инфраструктуры стран-участниц ЕАЭС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Запущена интерактивная карта с информацией по действующим локациям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коммерческие организации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 Внести изменения в НПА в части утверждения требований по установке стандартизированных электрозарядных станций при строительстве многоквартирных домов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 предусматривают установку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внедрение современных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 Проработать вопрос со странами с развитой автопромышленностью в части эффективности и налаживания бизнес-процессов переработки старых автомашин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Направлены инициативные обращения, изучен опыт, проведены переговоры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МИД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 Создать преференции и льготы для организаций, которые будут заниматься экономической деятельностью по выкупу, разбору, переработке компонентов транспортных средств и вторичному их использованию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инструменты кредитования с приемлемыми низкими ставками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согласованию: ЦКФ, ГБР, ОАО "Айыл банк", ОАО "Керемет банк", ОАО "Элдик банк", негосударственные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 Поддержать переработчиков старых автомашин с обеспечением реализации ресурсов для вторичного использования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рынок сбыта переработанной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 Интеграция ресурсов от переработанных транспортных средств в промышленный сектор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Переработанная продукция используется в промышленном секторе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 Поддержать проведение исследований и разработок в области технологии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Предусмотрены средства для проведения исследований в области технологии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по согласованию: ЦКФ, ГБР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 Взаимодействовать с международными партнерами для обмена опытом и технологиями в сфере развития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Направлены инициативные обращения, изучен опыт, проведены переговоры с международными партнерами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МИД,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 Стимулировать внутреннее производство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стимулирующие меры в виде кредитования для производителей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по согласованию: ОАО "Айыл банк", ОАО "Керемет банк", ОАО "Элдик банк", негосударственные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 Использовать аккумуляторы электромобилей как временные хранилища энергии на электрозаправочных станциях и производственных мощностях (Vehicle-to-Grid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элементы автономной системы энергетики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 Внедрить систему хранения энергии для сглаживания пиковых нагрузок и повышения эффективности использования возобновляемых источников энергии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Используются автономные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Устойчивый туризм</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институциональной реформы, установление единой политики и устойчивое управление в сфере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 Провести работу по институциональному развитию дестинаций (DMO)</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и создающиеся дестинации в регионах работают эффективно, улучшая качественные и количественные показатели туристических субъектов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 Цифровизировать подсчет туристов (QR-код), пересекающих государственную границу и посещающих туристические объекты (природные парки, туробъекты, музеи и т.д.) для эффективного анализа социально-экономического вклада и нагрузки на экологию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запущены цифровые решения подсчета туристов (например: мобильные приложения, софты, игры, интеграция в мобильные платежи, бонусные программы лояльности и т.д.)</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НСК, МКИМП, ОАО "ФПРТ",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улучшение нормативной правовой базы для усиления устойчивого развития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 Внести изменения и дополнения в НПА, предусматривающие повышение административных наказаний за организацию стихийных свалок и выброс мусора на автомобильных дорогах страны и природных туристских объектах, с учетом действенных механизмов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НПА, предусматривающие повышенные административные наказания за организацию стихийных свалок и выброс мусора в природных туристских объектах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МТК, МВД, ДТ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 Разработать и принять перечень технологий, указанный в части 2 </w:t>
            </w:r>
            <w:hyperlink w:history="1" r:id="rIde_txkwjm6s93f_wqgogmj">
              <w:r>
                <w:rPr>
                  <w:rFonts w:ascii="Arial" w:cs="Arial" w:eastAsia="Arial" w:hAnsi="Arial"/>
                  <w:color w:val="1D4ED8"/>
                  <w:sz w:val="24"/>
                  <w:szCs w:val="24"/>
                  <w:u w:val="single"/>
                </w:rPr>
                <w:t xml:space="preserve">статьи 284</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А также разработать требования и утвердить для применения пункта 22 части 1 </w:t>
            </w:r>
            <w:hyperlink w:history="1" r:id="rIdlmjpqd6obznupzz60xusr">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соответствующие перечень и требования для полноценного применения статей Налогового кодекса Кыргызской Республики для применения энерго- и ресурсоэффективных технологий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 Изучить и разработать механизм экологических сборов от посетителей (на международном примере городского налога и/или экосбора) при въезде/входе на природные туристские объекты, где собранные денежные средства будут использовать ОМСУ в целях снижения воздействия на экологию и охраны окружающей среды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глубокий анализ воздействия внедрения туристических экологических сборов на сферу туристической деятельности и окружающую среду и разработан действенный механизм по экосборам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МПРЭТН, МЭК, МФ, ОМСУ (по согласованию),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 Внести изменение в статью 26 конституционного Закона Кыргызской Республики "О государственном языке Кыргызской Республике", предоставляющее возможность использования иностранных названий для наружной рекламы, предприятиями туризма наряду с государственным и официальным языками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КР "О внесении изменений в </w:t>
            </w:r>
            <w:hyperlink w:history="1" r:id="rId40gtgfey-w2ayy5ztxsyt">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государственном языке Кыргызской Республике" с дополнениями и изменениями и внесен в Жогорку Кенеш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 Разработать НПА и механизм по установке пропускных пунктов в основные туристские природные объекты страны с целью снижения загрязнения окружающей среды мусором:</w:t>
            </w:r>
            <w:r>
              <w:rPr>
                <w:rFonts w:ascii="Arial" w:cs="Arial" w:eastAsia="Arial" w:hAnsi="Arial"/>
                <w:sz w:val="24"/>
                <w:szCs w:val="24"/>
              </w:rPr>
              <w:t xml:space="preserve">- внедрение платы за въезд/вход;</w:t>
            </w:r>
            <w:r>
              <w:rPr>
                <w:rFonts w:ascii="Arial" w:cs="Arial" w:eastAsia="Arial" w:hAnsi="Arial"/>
                <w:sz w:val="24"/>
                <w:szCs w:val="24"/>
              </w:rPr>
              <w:t xml:space="preserve">- возврат до 30% суммы платы при вывозе мусора согласно установленным нормам на человека в сутки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 Кабинета Министров Кыргызской Республики с механизмом реализации на практике, снижающей негативное воздействие на развитие туризма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 Запустить пилотный проект по установке пропускных пунктов на туристическом и/или природном объекте с механизмом возврата суммы платы до 30% при вывозе мусора согласно установленным нормам на человека в сутки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на 3 объектах установлены пропускные пункты и проводятся работы по мониторингу экологического воздействия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ДТ МЭК,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 Провести инвентаризацию земель с потенциалом для сферы туризма с целью внесения изменений и дополнений в земельное законодательство</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территории, обладающие туристским потенциалом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ДТ МЭК, ГАЗР,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 Внести изменения и дополнения в земельное законодательство с определением категории земли "Туризм и рекреация"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изменения и дополнения в земельное законодательство и определена категория "Туризм и рекреация" с последующими механизмами развития туризма на этих землях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ГАЗР, МВСХПП,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стандартов и требований, обеспечивающих переход к устойчивому развитию</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 Запустить механизм работы национальной системы классификации коллективных средств размещения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инструменты и механизмы работы системы классификации разработаны и внедрены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 Инвентаризировать все имеющиеся системы экосертификаций и маркировки с целью управления и развития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список экоcертификаций и маркировок для дальнейшего усиления и развития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 Принять и утвердить системы экосертификаций и маркировок в сфере туризма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стандарты по экосертификациям и маркировкам в туристской сфере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МЭК,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 Внедрить и поддерживать процедуры, основанные на принципах ХАССП, на базе ИСО 22000 и применимые на практике для сектора ХоРеКА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безопасности пищевой продукции с последующим получением сертификата системы менеджмента качества для сектора ХоРеКа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 МЭК,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Инвентаризировать природные, историко-культурные и другие туристские объекты для определения их максимальной емкости с учетом климатических изменений для последующей разработки механизмов и требований по ведению бизнеса и посещений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всех природных, историко-культурных и туристских объектов со всей информацией и определением их максимальной емкости и рекомендациями для последующей разработки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туристской сферы для перехода к устойчивому развитию</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 Разработать механизм работы револьверного фонда с минимальными процентными ставками и облегченными условиями для туристского малого среднего бизнеса с упором на женщин-предпринимателей и внедрение энерго-ресурсосберегающих технологий, а также продвижение национального туристического продукта на международных рынках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эффективный механизм работы револьверного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ОАО "ФПРТ", ДТ 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 Запустить револьверный фонд для финансирования туристского малого среднего бизнеса с упором на женщин-предпринимателей, внедрение энерго-, ресурсосберегающих технологий и продвижение национального туристического продукта на международных рынках с капиталом минимум 300 млн. сомов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револьверный фонд и начато финансирование МСБ туристкой сферы для внедрения зеленых технологий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ОАО "ФПРТ",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 Включить туризм в приоритетные направления фондов развития регионов для финансирования экономических проектов через ФКО и дополнить критерии финансирования зелеными мерами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изменение и принято Типовое положение о фондах развития регионов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ПП ПКР в областях, фонды развития регионов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Финансировать частные инициативы и Start-up напрямую для развития устойчивого туризма из фондов по развитию регионов в областях в рамках проведения конкурса Start-up 2 раза в год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финансирование частных инициатив и Start-Up каждого фонда по развитию в областях составляет минимум 5 млн. сомов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фонды по развитию, ОАО "ФПРТ",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 осведомленность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 Проводить информационную кампанию по охране и защите окружающей среды и объектов историко-культурного наследия в средствах массовой информации (государственные каналы ТВ, радио, журналы, газеты, информагентства)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Осведомленность и осознанность у населения повышены через постоянную информационную кампанию по охране и защите окружающей среды и историко-культурных объектов страны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МКИМП,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 Распространять лучшие практики и опыт использования зеленых технологий предприятиями туристской деятельности через СМИ (видеоролики, теле- и радиорепортажи, статьи в газетах, журналах, интернет-изданиях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осведомленность и понимание у туристических предприятий о важности и полезности зеленых технологий в ведении бизнеса (Ежегодно: минимум 15 видеороликов показаны по минимум 3 ТВ-каналам и продублированы на их социальных медиа страницах, 20 теле- и радиорепортажей, более 100 статей в газетах, журналах и интернет-изданиях)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МКИМП, государственные телерадиоканалы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 Организовать обучающие программы для частного сектора туристской деятельности по вопросам ответственного производства и потребления, учитывая гендерные аспекты бенефициаров и молодежь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Возможности женщин-предпринимателей и молодежи расширены, их бизнесы развиваются по всей стране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 Разработать и проводить курсы по повышению квалификации преподавателей вузов и профессионально-технических лицеев, обучающих туризму и гостеприимству (темы: "Устойчивое производство и потребление", "устойчивое развитие туризма", "циркулярная экономика в туризме"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 2028 г. и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квалификация преподавателей вузов и профессионально-технических лицеев с направлениями "Туризм и гостеприимство" и обладают необходимыми материалами для эффективного преподавания студентам принципов устойчивого развития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МНВОИ, КАО МНВОИ, ДТ МЭК, вузы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 Проводить обучающие тренинги, семинары, мастер-классы и обмениваться опытом с местными сообществами в туристских дестинациях страны в целях их интеграции в туристскую деятельность и развитие социально-экономического благосостояния местного населения, а также для минимизации давления на экологию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важности природных и туристских объектов повышена и создаются новые объекты предпринимательства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 Обучить туристическую милицию принципам устойчивого производства и потребления, устойчивого туризма и охраны окружающей среды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принципов УПП, устойчивого развития туризма у туристической милиции повышена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МВД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 Обучить МСУ и фонды развития регионов принципам устойчивого туризма для правильного и эффективного принятия решений на местах по устойчивому развитию туризма в регионах страны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1 раз в год в каждой области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Представители МСУ и фондов развития понимают принципы и критерии устойчивого развития туризма и его социально-экономический и экологический вклад регионов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ГАГСМСУ, МНВОИ,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 Повысить потенциал представителей туристического сектора и местного сообщества по вопросам предупреждения и реагирования на риски стихийных бедствий (круглые столы, информационно-раздаточные материалы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Представители туристического сектора и местного сообщества предпринимают меры (предупреждение туристов об опасности, включение рисков в маршруты и т.д.) по предупреждению и реагированию на риски стихийных бедствий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МЧС, ПП ПКР в областях,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зеленых инвестиций и улучшение инфраструктуры для развития устойчивого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 Провести инвентаризацию простаивающих и недостроенных туристских объектов для их запуска строительства/реконструкции соответствия требованиям и критериям устойчивости (ЭРЭ)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с четкими данными обо всех простаивающих и недостроенных туристских объектах и подготовлен соответствующий список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Центр ГЧП,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Согласно списку из пункта 6.1 подготовить минимум 16 ГЧП-проектов к концу 2026 года и запустить конкурсную процедуру минимум 50% из них к концу 2028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по минимум 16 потенциальным ГЧП-проектам и подготовлены предварительные ТЭО к ним, а также 50% из ГЧП-проектов выставлены на конкурс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ГЧП, ДТ МЭК, ОАО "ФПРТ",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 Запустить национальный проект по реконструкции, восстановлению и популяризации краеведческих и исторических музеев в регионах страны с использованием зеленых технологий и концепции инклюзивности для маломобильных граждан и туристов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концепция проекта, составлен список самых важных музеев (минимум 3 по республике), подготовлены ТЭО, определены источники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МКИМП, НАН,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 Проводить строительные и ремонтные работы мостов и дорог, ведущих к основным туристским объектам страны с возможным использованием энерго-, ресурсосберегающих технологий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строится и реконструируется не менее 20 км дорог и мостов по мере необходимости, ведущих к основным туристическим объектам страны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ОМСУ (по согласованию),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 Установка информационных стендов по предупреждению о рисках климатических стихийных бедствий (камнепады, селепаводковые, пожарные, лавинные опасности) в самых важных туристских природных объектах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Установлено минимум 70 (в каждой области по 10) информационных стендов по предупреждению о рисках климатических стихийных бедствий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МЧС, ДТ МЭК, ЦАИИЗ (по согласованию),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устойчивого путешествия и мобильность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 Разработать концепцию развития пешеходных улиц и общественных пространств в городах Бишкек, Ош, Джалал-Абад, Каракол, Чолпон-Ата, Нарын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концепции развития пешеходных улиц, свободных от транспорта, и общественных пространств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Ош, Джалал-Абад, Каракол, Чолпон-Ата и Нарын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 Запретить эксплуатацию и использование индивидуального водноразвлекательного транспорта с двигателями внутреннего сгорания (бензин, дизель), кроме двигателей на газу и/или электричестве в акватории озера Ыссык-Куль и озера Сары-Челек, Сон-Куль и других водоемах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Запрещено эксплуатировать и использовать водноразвлекательный транспорт с двигателями внутреннего сгорания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МТК, ПП ПКР в Иссык-Кульской области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Разработать дорожную карту по развитию инклюзивного туризма в Кыргызской Республике для последующего решения вопросов для маломобильных граждан и туристов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дорожная карта развития инклюзивного туризма в Кыргызской Республике с четким планом развития мобильности и безбарьерной среды в сфере туризма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МТСОМ,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 Разрабатывать техническое задание экотроп с привлечением экспертов в этой области и запустить минимум 1 экотропу в каждой области страны к концу 2028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минимум 1 экотропа в каждой области страны, соответствующая требованиям безопасности туристов и окружающей среды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"ФПРТ", дестинации ПП ПКР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сбора и переработки отходов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 Провести анализ и систематизацию мероприятий, планов по управлению отходами, утвержденных указами Президента Кыргызской Республики и постановлениями Кабинета Министров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систематизация (исключение повторов, разночтений в наименованиях документов, сроках исполнения, исполнителях и др.) мероприятий, принятых планов по управлению отходами и сформированы обобщенные мероприятия для комплексного подхода к решению проблемы накопления отходов и включения в проект Государственной программы по устойчивому управлению отходами и вторичными ресурсами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 Формирование комплексной системы управления отходами - разработка Государственной программы по устойчивому управлению отходами и вторичными ресурсами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2025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Государственная программа по устойчивому управлению отходами и вторичными ресурсами, включающая комплекс мер, направленных на создание правовых и институциональных предпосылок для эффективной системы управления отходами и вторичными ресурсами, проработку вопросов перераспределения ответственности, организацию процессов сбора, переработки, утилизации отходов по видам, стимулирование развития сектора переработки отходов, внедрение принципов РОП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ГАГСМСУ, МСАЖКХ, МНВОИ,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 Разработать единый формат региональных/территориальных программ по устойчивому управлению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единый формат для разработки региональных/территориальных программ по устойчивому управлению отходами в регионах, включающий основные направления, критерии и требования к развитию системы управления отходами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 Разработать региональные/территориальные программы по устойчивому управлению отходами и вторичными ресурсами в 7 областях Кыргызской Республики, районах и городах Бишкек, Ош на основании единого формата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региональные программы на местном уровне, включающие конкретные меры по раздельному сбору, переработке, утилизации отходов, совершенствованию ценообразования, оптимизации тарифов, укреплению и стимулированию платежной дисциплины, системе учета отходов и отчетности и др.</w:t>
            </w:r>
            <w:r>
              <w:rPr>
                <w:rFonts w:ascii="Arial" w:cs="Arial" w:eastAsia="Arial" w:hAnsi="Arial"/>
                <w:sz w:val="24"/>
                <w:szCs w:val="24"/>
              </w:rPr>
              <w:t xml:space="preserve">Определены источники финансирования для реализации мер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мэрии городов Бишкек, Ош, МПРЭТН,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Разработка </w:t>
            </w:r>
            <w:r>
              <w:rPr>
                <w:rFonts w:ascii="Arial" w:cs="Arial" w:eastAsia="Arial" w:hAnsi="Arial"/>
                <w:sz w:val="24"/>
                <w:szCs w:val="24"/>
              </w:rPr>
              <w:t xml:space="preserve">регламентирующего детального порядка организации системы раздельного сбора и переработки отходов </w:t>
            </w:r>
            <w:r>
              <w:rPr>
                <w:rFonts w:ascii="Arial" w:cs="Arial" w:eastAsia="Arial" w:hAnsi="Arial"/>
                <w:sz w:val="24"/>
                <w:szCs w:val="24"/>
              </w:rPr>
              <w:t xml:space="preserve">-</w:t>
            </w:r>
            <w:r>
              <w:rPr>
                <w:rFonts w:ascii="Arial" w:cs="Arial" w:eastAsia="Arial" w:hAnsi="Arial"/>
                <w:sz w:val="24"/>
                <w:szCs w:val="24"/>
              </w:rPr>
              <w:t xml:space="preserve"> типовые правила обращения с </w:t>
            </w:r>
            <w:r>
              <w:rPr>
                <w:rFonts w:ascii="Arial" w:cs="Arial" w:eastAsia="Arial" w:hAnsi="Arial"/>
                <w:sz w:val="24"/>
                <w:szCs w:val="24"/>
              </w:rPr>
              <w:t xml:space="preserve">твердыми бытовыми отходами</w:t>
            </w:r>
            <w:r>
              <w:rPr>
                <w:rFonts w:ascii="Arial" w:cs="Arial" w:eastAsia="Arial" w:hAnsi="Arial"/>
                <w:sz w:val="24"/>
                <w:szCs w:val="24"/>
              </w:rPr>
              <w:t xml:space="preserve"> с учетом всех видов отходов.</w:t>
            </w:r>
            <w:r>
              <w:rPr>
                <w:rFonts w:ascii="Arial" w:cs="Arial" w:eastAsia="Arial" w:hAnsi="Arial"/>
                <w:sz w:val="24"/>
                <w:szCs w:val="24"/>
              </w:rPr>
              <w:t xml:space="preserve">Разработать </w:t>
            </w:r>
            <w:r>
              <w:rPr>
                <w:rFonts w:ascii="Arial" w:cs="Arial" w:eastAsia="Arial" w:hAnsi="Arial"/>
                <w:sz w:val="24"/>
                <w:szCs w:val="24"/>
              </w:rPr>
              <w:t xml:space="preserve">правила на местном уровне в соответствии с типовыми правилами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типовые правила обращения с </w:t>
            </w:r>
            <w:r>
              <w:rPr>
                <w:rFonts w:ascii="Arial" w:cs="Arial" w:eastAsia="Arial" w:hAnsi="Arial"/>
                <w:sz w:val="24"/>
                <w:szCs w:val="24"/>
              </w:rPr>
              <w:t xml:space="preserve">твердыми бытовыми отходами</w:t>
            </w:r>
            <w:r>
              <w:rPr>
                <w:rFonts w:ascii="Arial" w:cs="Arial" w:eastAsia="Arial" w:hAnsi="Arial"/>
                <w:sz w:val="24"/>
                <w:szCs w:val="24"/>
              </w:rPr>
              <w:t xml:space="preserve">, включающие требования к организации раздельного сбора отходов, обязанностям юридических лиц и граждан, установке и обозначению контейнеров для сбора, пунктам приема и сортировки, порядку нормирования объемов образования отходов для разных секторов экономики, обращению с отдельными видами отходов, систематизации учета объемов отходов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r>
              <w:rPr>
                <w:rFonts w:ascii="Arial" w:cs="Arial" w:eastAsia="Arial" w:hAnsi="Arial"/>
                <w:sz w:val="24"/>
                <w:szCs w:val="24"/>
              </w:rPr>
              <w:t xml:space="preserve"> Внести изменения в соответствующие НПА по регламентированию требований к процессу обезвреживания, переработки, утилизации отходов, использованию экологически безопасных технологий, регламентации видов отходов, которые могут подвергаться обезвреживанию, механизмам сокращения (запрета) размещения на объектах захоронения отходов, которые могут быть использованы в качестве вторичных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nj1trsdpq2rrrhftn_k34">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обращения с опасными отходами на территории Кыргызской Республики (</w:t>
            </w:r>
            <w:hyperlink w:history="1" r:id="rIdbms7ypboa4ryy67ghb2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"Об утверждении </w:t>
            </w:r>
            <w:hyperlink w:history="1" r:id="rIdtakz_tptx9fg7skyrfh6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опасными отходами на территории Кыргызской Республики"</w:t>
            </w:r>
            <w:r>
              <w:rPr>
                <w:rFonts w:ascii="Arial" w:cs="Arial" w:eastAsia="Arial" w:hAnsi="Arial"/>
                <w:sz w:val="24"/>
                <w:szCs w:val="24"/>
              </w:rPr>
              <w:t xml:space="preserve"> от 28 декабря 2015 года № 885) и </w:t>
            </w:r>
            <w:hyperlink w:history="1" r:id="rIdiqqbvo-gezy3orxou-wsz">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обращения с отходами производства и потребления в Кыргызской Республике (</w:t>
            </w:r>
            <w:hyperlink w:history="1" r:id="rId4c8-cysi0hbwnetwlgi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ifdwirqd8rx_fs7m0j9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w:t>
            </w:r>
            <w:r>
              <w:rPr>
                <w:rFonts w:ascii="Arial" w:cs="Arial" w:eastAsia="Arial" w:hAnsi="Arial"/>
                <w:sz w:val="24"/>
                <w:szCs w:val="24"/>
              </w:rPr>
              <w:t xml:space="preserve"> от 5 августа 2015 года № 559)</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 Пересмотр норм образования твердых бытовых отходов и расчет тарифа на сбор и вывоз, включающего плату за размещение твердых бытовых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утвержден Порядок определения норм образования твердых бытовых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 Организовать на местном уровне раздельный сбор твердых бытовых отходов и передачу на переработку вторичного сырья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приемные пункты и специально установленные контейнеры для раздельного сбора, в том числе</w:t>
            </w:r>
            <w:r>
              <w:rPr>
                <w:rFonts w:ascii="Arial" w:cs="Arial" w:eastAsia="Arial" w:hAnsi="Arial"/>
                <w:sz w:val="24"/>
                <w:szCs w:val="24"/>
              </w:rPr>
              <w:t xml:space="preserve"> для сбора опасных бытовых отходов, таких как батарейки, электронное и электрическое оборудование и др.</w:t>
            </w:r>
            <w:r>
              <w:rPr>
                <w:rFonts w:ascii="Arial" w:cs="Arial" w:eastAsia="Arial" w:hAnsi="Arial"/>
                <w:sz w:val="24"/>
                <w:szCs w:val="24"/>
              </w:rPr>
              <w:t xml:space="preserve">Проведены информационно-образовательные кампании для населения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w:t>
            </w:r>
            <w:r>
              <w:rPr>
                <w:rFonts w:ascii="Arial" w:cs="Arial" w:eastAsia="Arial" w:hAnsi="Arial"/>
                <w:sz w:val="24"/>
                <w:szCs w:val="24"/>
              </w:rPr>
              <w:t xml:space="preserve">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 Разработать </w:t>
            </w:r>
            <w:r>
              <w:rPr>
                <w:rFonts w:ascii="Arial" w:cs="Arial" w:eastAsia="Arial" w:hAnsi="Arial"/>
                <w:sz w:val="24"/>
                <w:szCs w:val="24"/>
              </w:rPr>
              <w:t xml:space="preserve">нормативные правовые акты по расширенной ответственности производителей и импортеров товаров, упаковки товаров (РОП) с целью покрытия части расходов на сбор и переработку отходов после использования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постановления и распоряжения Кабинета Министров Кыргызской Республики о порядке реализации РОП и взимания утилизационного сбора, об утверждении перечня товаров, упаковки товаров, подлежащих утилизации после утраты ими потребительских свойств, об утверждении нормативов утилизации отходов от использования товаров, установлении ставок сбора, методики расчета платы, о представлении производителями и импортерами товаров отчетности о выполнении нормативов, о порядке и условиях предоставления средств (субсидирование) переработчикам отходов за счет средств поступивших от утилизационного сбора), об утверждении положения оператора РОП</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8.1.10. Провести инвентаризацию предприятий сектора сбора и переработки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реестр объектов по переработке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8.1.11. Разработать </w:t>
            </w:r>
            <w:r>
              <w:rPr>
                <w:rFonts w:ascii="Arial" w:cs="Arial" w:eastAsia="Arial" w:hAnsi="Arial"/>
                <w:sz w:val="24"/>
                <w:szCs w:val="24"/>
              </w:rPr>
              <w:t xml:space="preserve">механизмы стимулирования и привлечения инвестиций в развитие сектора переработки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законодательные акты, направленные на развитие системы льготных кредитов, </w:t>
            </w:r>
            <w:r>
              <w:rPr>
                <w:rFonts w:ascii="Arial" w:cs="Arial" w:eastAsia="Arial" w:hAnsi="Arial"/>
                <w:sz w:val="24"/>
                <w:szCs w:val="24"/>
              </w:rPr>
              <w:t xml:space="preserve">государственно-частного партнерства </w:t>
            </w:r>
            <w:r>
              <w:rPr>
                <w:rFonts w:ascii="Arial" w:cs="Arial" w:eastAsia="Arial" w:hAnsi="Arial"/>
                <w:sz w:val="24"/>
                <w:szCs w:val="24"/>
              </w:rPr>
              <w:t xml:space="preserve">и других программ финансирования для сектора сбора и переработки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Улучшить систему отчетности по управлению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формы статистической отчетности по обращению с отходами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8.1.13. Обеспечить развитие непрерывного экологического образования по внедрению передовых методов обращения с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систему общего и профессионального образования включены программы экологического образования, включающего вопросы устойчивого потребления и управления отходами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МНВОИ,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инфраструктуры полигонов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 Провести инвентаризацию свалок, включая анализ морфологического состава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оценка состояния объектов захоронения отходов на территории Кыргызской Республики, включающих количество санкционированных и несанкционированных свалок, их территории и состояние, объемы захороненных отходов и их морфологический состав.</w:t>
            </w:r>
            <w:r>
              <w:rPr>
                <w:rFonts w:ascii="Arial" w:cs="Arial" w:eastAsia="Arial" w:hAnsi="Arial"/>
                <w:sz w:val="24"/>
                <w:szCs w:val="24"/>
              </w:rPr>
              <w:t xml:space="preserve">Предоставлены рекомендации по улучшению ситуации и предварительные расчеты необходимого количества и площади полигонов в зависимости от численности жителей населенных мест, обслуживаемых полигонами, дальности транспортировки отходов, анализ возможностей инвестирования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 ПКР в областях,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 Разработать и реализовать план-график по сокращению и закрытию несанкционированных свалок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план-график поэтапного закрытия и рекультивации несанкционированных свалок во всех областях Кыргызской Республики.</w:t>
            </w:r>
            <w:r>
              <w:rPr>
                <w:rFonts w:ascii="Arial" w:cs="Arial" w:eastAsia="Arial" w:hAnsi="Arial"/>
                <w:sz w:val="24"/>
                <w:szCs w:val="24"/>
              </w:rPr>
              <w:t xml:space="preserve">Ведется закрытие и рекультивация несанкционированных свалок и оснащение и приведение в соответствие с экологическими и санитарными требованиями оставшихся действующих свалок (полигонов) согласно плану-графику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в</w:t>
            </w:r>
            <w:r>
              <w:rPr>
                <w:rFonts w:ascii="Arial" w:cs="Arial" w:eastAsia="Arial" w:hAnsi="Arial"/>
                <w:sz w:val="24"/>
                <w:szCs w:val="24"/>
              </w:rPr>
              <w:t xml:space="preserve">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 Разработать и внедрить требования для проектирования, эксплуатации и рекультивации полигонов в соответствии с передовыми практиками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требования (СНиП) к проектированию, организации, эксплуатации и рекультивации полигонов, предусматривающие оснащение полигонов сортировочными линиями, оборудованием для компостирования, сжигания биологических и других отходов (пиролиз), сбора свалочного газа для производства электроэнергии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МПРЭТН, ГАГСМСУ,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 Подготовить проектные документы (ТЭО, ОВОС), согласовать и получить разрешения (положительные заключения государственной экологической экспертизы) для строительства мусоросжигающего завода на полигоне г.Бишкек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мусоросжигающего завода на полигоне г.Бишкек для обеспечения утилизации (сжигание с выработкой энергии и/или тепла) отходов, не подлежащих переработке, с обеспечением экологических норм и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и предотвращение образования отходов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 Провести анализ рекомендаций глобальных инициатив, международных соглашений и документов по безотходной экономике и сокращению производства и потребления трудно-перерабатываемого пластика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рекомендации для интеграции с учетом международных требований в национальную политику в области устойчивого потребления и производства, а также комплекс мер по предотвращению образования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 Провести анализ ситуации (опрос) по готовности производителей товаров в пластиковой упаковке и производителей пластика к изменениям, направленным на сокращение выпуска неперерабатываемого одноразового пластика, исключение использования химических веществ в производстве, переход на малоотходные и ресурсосберегающие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ситуации по готовности производителей к сокращению пластика для формирования политики по предотвращению и минимизации образования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 Разработать комплекс мер по предотвращению образования отходов, включающих мероприятия по стимулированию применения ресурсосберегающих технологий производства, развитию малоотходных производств, поощрению производства продукции из вторичного сырья, содействию многоразовому использованию продукции, запрету (производство, импорт) одноразовых неперерабатываемых и небезопасных (содержащих токсичные вещества) видов пластика, использованию гибких тарифов (принцип "больше выбрасываешь - больше платишь")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комплекс мер по предотвращению образования отходов с учетом международных рекомендаций и интегрирован (отдельный раздел) в Государственную программу по устойчивому управлению отходами и вторичными ресурсами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 Проводить образовательные мероприятия, регулярные информационные кампании, публикации в СМИ по вопросам устойчивого производства и потребления, минимизации образования отходов, раздельного сбора с учетом возрастных и гендерных различий, специфики городских и сельских домохозяйств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экологического воспитания и заинтересованности населения для сознательного потребления продуктов и услуг с целью минимизации образования отходов, устойчивого потребления и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МНВОИ,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Устойчивое финансирование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Зеленая Таксономия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 Разработать и принять справочники товаров, соответствующих классификатору, -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МЭК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 Разработать и утвердить требования/рекомендации, необходимые для имплементации в банковском секторе классификатора зеленых проектов и финансирования (зеленая таксономия)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МЭК/НБКР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 Разработать стандарты и критерии для организаций-оценщиков (верификаторов) на соответствие проектов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 Определить процедуру сертификации/лицензирования оценщиков (верификаторов) проектов, соответствующую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 Создать и вести реестр организаций, осуществляющих оценку на соответствие проектов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Внутренним решением МЭК утвержден реестр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 Адаптировать систему расширения рамок прозрачности (Enhance Transparency Framework) для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 об утверждении национальной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НСК (по согласованию),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 Обновить коды Государственного классификатора видов экономической деятельности (ГКЭД) в соответствии с NACE 2.1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 об утверждении национальной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НСК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экологическими и социальными рисками (ESRM)</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 Разработать и утвердить рекомендации по управлению экологическими и социальными рисками для небанковского финансового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уполномоченного государственного органа об утверждении минимальных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 Разработать требования/рекомендации по управлению экологическими и социальными рисками для банковского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КМКР/НБКР об утверждении минимальных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Раскрытие ESG-информации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 Разработать рекомендации по раскрытию ESG-информации для банковского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рекомендации по добровольному раскрытию информации, увеличению инвестиционной привлекательности коммерческих банков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 Разработать рекомендации по раскрытию ESG-информации для небанковского финансового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рекомендации по добровольному раскрытию информации, увеличению инвестиционной привлекательности финансовых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 Установить минимальный набор зеленых критериев к листингующимся на бирже компаниям (в соответствии с классификатором)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требования для компаний на рынке ценных бумаг, увеличения инвестиционной привлекательности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КФБ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 Провести исследования по вопросам внедрения устойчивого страхования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исследования и выработаны рекомендации по целесообразности внесения изменений в соответствующие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КАС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Рыночные стандарты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 Провести официальный перевод на государственный и официальные языки серии стандартов GHG Protocol, которые описывают правила учета выбросов парниковых газов для частного сектора в охвате 1 и 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учета выбросов парниковых газов с международной практикой на государственном и официальном языках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 Совместно с НСК разработать электронные формы отчетности для определенных секторов экономики и вести ежегодную отчетность относительно выбросов парниковых газов в охвате 1 и 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учета данных в определенных секторах для контроля достижения целей углеродной нейтральности к 2030 году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НСК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 МЭК совместно с МПРТЭН разработать и утвердить коэффициенты выбросов СО</w:t>
            </w:r>
            <w:r>
              <w:rPr>
                <w:rFonts w:ascii="Arial" w:cs="Arial" w:eastAsia="Arial" w:hAnsi="Arial"/>
                <w:sz w:val="20"/>
                <w:szCs w:val="20"/>
              </w:rPr>
              <w:t xml:space="preserve">2</w:t>
            </w:r>
            <w:r>
              <w:rPr>
                <w:rFonts w:ascii="Arial" w:cs="Arial" w:eastAsia="Arial" w:hAnsi="Arial"/>
                <w:sz w:val="24"/>
                <w:szCs w:val="24"/>
              </w:rPr>
              <w:t xml:space="preserve"> для ископаемого топлива и прочих видов экономической деятельности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стандартизация учета выбросов парниковых газов в частном секторе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 Разработать отраслевые стандарты отчетности (МСФО С1 и С2) для реального сектора экономики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Улучшена система регулирования экологических и социальных рисков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 Внедрить в руководящие принципы по секторам требования, касающиеся экологической проверки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руководящие принципы внедрены требования.</w:t>
            </w:r>
            <w:r>
              <w:rPr>
                <w:rFonts w:ascii="Arial" w:cs="Arial" w:eastAsia="Arial" w:hAnsi="Arial"/>
                <w:sz w:val="24"/>
                <w:szCs w:val="24"/>
              </w:rPr>
              <w:t xml:space="preserve">Разработан справочник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 Разработать систему ESG-рейтингов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система рейтингов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облигации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 Разработать и принять руководящие принципы в отношении зеленых облигаций, каталога зеленых облигаций, а также руководящие принципы отчетности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 Разработать и принять требования по независимой проверке третьей стороной эмитентов зеленых облигаций (second part opinion)</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требования решением Госфиннадзора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 Создать и вести реестр организаций, осуществляющих независимую проверку к эмиссии/размещению зеленых облигаций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реестр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потенциала и уровня информированности о принципах устойчивого финансирования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 Разработать программу обучения, ориентированную на устойчивое финансирование и управление экологическими и социальными рисками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обучения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согласованию), ГБР, банковские и финансовые учреждения, партнеры по развитию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 Повысить потенциал сотрудников уполномоченных государственных органов по направлению устойчивого финансирования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сотрудников о принципах устойчивого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ЦКФ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 Провести информирование о принципах устойчивого финансирования среди населения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СМИ и интернет-ресурсах публикуются материалы, содействующие повышению финансовой грамотности по вопросам устойчивого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 КФБ (по согласованию),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 Повысить информированность предпринимателей в части использования перспективных финансовых инструментов для развития бизнеса, в том числе о принципах устойчивого финансирования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сектор информирован о принципах устойчивого финансирования для развития бизнеса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 бизнес-ассоциации,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Фискальное стимулирование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оптимизация фискальных механизмов для поддержки и стимулирования устойчивого экономического развития Кыргызской Республики и сокращения отрицательного воздействия на окружающую среду</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 Разработать нормативный правовой акт, предусматривающий внесение изменений в Бюджетный кодекс КР для формирования источников финансирования для фонда зеленого финансирования (механизм расщепления для отдельных видов налогов)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Бюджетный кодекс Кыргызской Республики, предусматривающих расщепление акцизного налога на ГСМ и роялти для горнодобывающей промышленности, а также отчисление в процентном выражении в Фонд зеленого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 Разработать и внедрить методику и индикаторы для оценки эффективности мер государственной поддержки в контексте зеленой экономики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постановления Кабинета Министров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субсидий для грязных технологий и разработка механизма сохранения льготных тарифов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 Разработать и внедрить механизм, обеспечивающий применение льготных тарифов на электроэнергию и отопление для социально уязвимых слоев населения, живущих за чертой бедности, пенсионеров, многодетных семьей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ведомственные приказы, направленные на внедрение механизма применения льготных тарифов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МТСОМ, СФ,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 Проводить мониторинг эффективности и достаточности предоставляемой поддержки социально уязвимым слоям населения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ведомственный приказ, направленный на организацию контроля предоставляемой поддержки социально уязвимым слоям населения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СФ, ПП ПКР,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государственные закупки</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 Создать межведомственную рабочую группу по разработке актуальных мер по устойчивым государственным закупкам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Совместным приказом создана межведомственная рабочая группа по устойчивым государственным закупкам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 Разработать механизм расчета жизненного цикла товаров и поставок с упором на индикаторы изготовления продукции, использования/потребления продукта и утилизации по истечении срока службы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методика оценки механизма расчета жизненного цикла товаров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 Внесение изменений в нормативные правовые акты в сфере государственных закупок с целью их увязки с зеленой таксономией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по зеленым государственным закупкам и использованию зеленой таксономии как оценку их доли.</w:t>
            </w:r>
            <w:r>
              <w:rPr>
                <w:rFonts w:ascii="Arial" w:cs="Arial" w:eastAsia="Arial" w:hAnsi="Arial"/>
                <w:sz w:val="24"/>
                <w:szCs w:val="24"/>
              </w:rPr>
              <w:t xml:space="preserve">Нормативный правовой акт по балльной системе оценок пересмотрен с учетом актуальных предложений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 Разработать справочники соответствия кодов видов экономической деятельности с кодами бюджетной классификации для использования зеленой таксономии в системе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справочники разработаны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 Определить перечень сфер экономической деятельности, закупаемой государством продукции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сфер определен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портала государственных закупок</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 Разработать модуль/раздел для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специальный модуль в системе государственных закупок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 Провести тренинги по функционалу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тренингов разработан и проведен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 Провести тренинги по зеленой таксономии в системе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тренингов по зеленой таксономии в системе государственных закупок подготовлен и запущен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поставщиков и закупающих организаций для перехода к устойчивым государственным закупкам</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 Провести обучающие семинары по устойчивым государственным закупкам, принципам жизненного цикла товаров/продукции и применимости зеленой таксономии для органов государственной власти, имеющих контролирующие и аудиторские полномочия, в частности: Счетная палата, Генеральная прокуратура, ГКНБ, аудиторы МФ и ДГЗ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семинары по устойчивым государственным закупкам, принципам жизненного цикла товаров/продукции и применимости зеленой таксономии для органов государственной власти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 Провести обучающие семинары для участников процесса устойчивых государственных закупок, в том числе граждан и бизнес-сообществ, о правилах и процедурах проведения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правилах и процедурах проведения зеленых государственных закупок ориентированы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бизнес-сообщество</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реализацией и мониторинг программы</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актуализация и отслеживание национальных и секторальных индикаторов зеленой экономики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Разработать, утвердить и внедрить метаданные и методологию для национальных и секторальных индикаторов, включая как ведомственные индикаторы, так и индикаторы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 утверждены метаданные по национальным и секторальным индикаторам, включая цель, задачи, определения, формулы расчета, источники, методы сбора, необходимые разрезы по регионам, полу и т.д., используемые понятия и переменные для расчета индикатора и пр. Для сбора данных по нововведенным индикаторам разработаны единые шаблоны и методы сбора данных и разосланы по всем источникам данных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МЭК и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Провести обучение по разработке метаданных, процедурам сбора, обработки данных и контроля качества, принятым в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делится опытом по работе с индикаторами, сложностями, имеющимися инструментами, формами/шаблонами и лучшими практиками, извлеченными уроками. Ответственные министерства и ведомства улучшили свои навыки исследования и внедрили их в практику по работе с ведомственными индикаторами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 все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 Обновить систему показателей мониторинга зеленой экономики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каждого года с 2026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 на официальном сайте НСК "Набор показателей мониторинга зеленой экономики"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Включить в раздел НСК по зеленой экономике макроэкономические перспективные индикаторы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адаптированный национальный классификатор экологических товаров и услуг на основе международного классификатора Сектора экологических товаров и услуг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 Разработать и утвердить процедуру внутреннего контроля качества данных по всем ведомственным индикаторам и индикаторам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чек-листы для контроля качества данных по индикаторам, верификации того, насколько сбор и обработка данных по всем ведомственным индикаторам произведены качественно в соответствии с разработанной внутри ведомства методологией, метаданными и формами сбора данных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 Провести исследование по тем индикаторам, где нет базовых значений в целях их установления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методология, проведен сбор данных по тем индикаторам матрицы ЗЭ, в которых на момент написания программы еще не было базовых значений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систематической, консолидированной, индикаторно-ориентированной и открытой отчетности по итогам мониторинга программы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 Регулярный сбор и контроль качества данных по ведомственным индикаторам и мерам, рискам и вкладу в развитие зеленой экономики негосударственных акторов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ответственное министерство/ведомство координируют процесс сбора данных от А до Я, обеспечивают контроль качества данных на основе чек-листов, процедуры контроля качества и принятой методологии сбора данных по каждому индикатору (если ее нет, то разработать и утвердить)</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 Обеспечить принятие ответных мер по управлению и корректировке программы по итогам мониторинга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каждого года с 2025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Введется учет сложностей, вызовов, извлеченных уроков, отклонений от плана, пробелов в работе программы каждые полгода ответственными министерствами. Регулярный учет и анализ этой информации позволили своевременно выявлять и устранять проблемы, влияющие на реализацию и успех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внешних независимых базовой и итоговой оценок Программы развития зеленой экономики Кыргызской Республики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 Сформулировать ТЗ для проведения внешних независимых базовой и итоговой оценок, изыскать внешние финансовые ресурсы для проведения внешних оценок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 составлено в позиции получения независимой и объективной информации о степени достижения целей и задач программы зеленой экономики, верификации данных по ведомственным индикаторам и вкладу негосударственных акторов и пр. Повышено доверие со стороны международного сообщества к программе зеленой экономики за счет прозрачности и надежности проведенных оценок и отсутствия конфликта интересов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 Провести независимые внешние базовую и финальную оценки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общая эффективность, устойчивость, воздействие, актуальность программы и ее влияние на целевые показатели. Предоставлена независимая оценка отклонений от плана, пробелов, лучших практик, извлеченных уроков, предоставлены рекомендации для улучшения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 Обеспечить ответные меры по управлению и корректировке программы по итогам внешней оценки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ответные меры и необходимые корректировки в программу (в план мер и индикаторов) по итогам внешней оценки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межведомственного и внутриведомственного взаимодействия в рамках реализации программы развития зеленой экономики Кыргызской Республики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 Активизировать работу координационного комитета зеленой экономики и его секретариата, созданного при Кабинете Министров Кыргызской Республики через полугодовые встречи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и III кв. каждого года с 2025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полугодовые встречи способствовали улучшению координации и согласованности между различными акторами, ответственными или вовлеченными в реализацию программы ЗЭ, обеспечили эффективное и целенаправленное использование ресурсов, устранение дублирующих усилий и согласованное выполнение планов и задач программы, позволили своевременно выявлять и обсуждать возникающие проблемы, вызовы и препятствия в реализации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 Разработать и внедрить регламенты планирования и распределения задач внутри ведомства и с негосударственными акторами, регулярного риск менеджмента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четкое понимание общих целей, зон ответственности, мероприятий, индикаторов, сроков, формата взаимодействия среди всех государственных и муниципальных исполнительных органов, улучшена координация как между ведомствами, так и внутри ведомства.</w:t>
            </w:r>
            <w:r>
              <w:rPr>
                <w:rFonts w:ascii="Arial" w:cs="Arial" w:eastAsia="Arial" w:hAnsi="Arial"/>
                <w:sz w:val="24"/>
                <w:szCs w:val="24"/>
              </w:rPr>
              <w:t xml:space="preserve">Обеспечено своевременное достижение поставленных целей и выполнение мероприятий в рамках программы, минимизированы задержки и отклонения от плана, улучшена координация и коммуникация между ведомствами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 Повысить управленческий и координационный потенциал через систематическое обучение и передачу опыта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ответственных отделов министерств, ведомств по работе с программой ЗЭ повысили свои управленческие навыки, применяют в работе методы стратегирования, работают над усилением институциональной памяти через разные инструменты, работают над привлечением внешнего финансирования, улучшили свои навыки коммуникации и координации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https://cbd.minjust.gov.kg/230005058/edition/6837/ru.</w:t>
      </w:r>
    </w:p>
    <w:p>
      <w:pPr>
        <w:spacing w:after="60"/>
        <w:ind w:firstLine="567"/>
        <w:jc w:val="both"/>
      </w:pPr>
      <w:r>
        <w:rPr>
          <w:rFonts w:ascii="Arial" w:cs="Arial" w:eastAsia="Arial" w:hAnsi="Arial"/>
          <w:sz w:val="24"/>
          <w:szCs w:val="24"/>
        </w:rPr>
        <w:t xml:space="preserve">(2) Согласно Перечню автомобильных дорог на территории Кыргызской Республики, имеющих международное значение, утвержденному </w:t>
      </w:r>
      <w:hyperlink w:history="1" r:id="rIdvi8hgdfliew0lrqlqtgb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пользования автомобильными дорогами и дорожными сооружениями и их охраны на территории Кыргызской Республики и Порядка классификации и нумерации автомобильных дорог общего пользования на территории Кыргызской Республики" от 18 августа 2017 года № 512.</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GHG Protocol</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для учета выбросов углекислого газа (Greenhouse Gas Protocol)</w:t>
      </w:r>
    </w:p>
    <w:p>
      <w:pPr>
        <w:tabs>
          <w:tab w:val="right" w:pos="10178"/>
        </w:tabs>
        <w:spacing w:after="120"/>
      </w:pPr>
      <w:r>
        <w:rPr>
          <w:rFonts w:ascii="Arial" w:cs="Arial" w:eastAsia="Arial" w:hAnsi="Arial"/>
          <w:b/>
          <w:bCs/>
          <w:sz w:val="24"/>
          <w:szCs w:val="24"/>
        </w:rPr>
        <w:t xml:space="preserve">ВВП </w:t>
      </w:r>
      <w:r>
        <w:rPr>
          <w:rFonts w:ascii="Arial" w:cs="Arial" w:eastAsia="Arial" w:hAnsi="Arial"/>
          <w:sz w:val="24"/>
          <w:szCs w:val="24"/>
        </w:rPr>
        <w:t xml:space="preserve">	</w:t>
      </w:r>
      <w:r>
        <w:rPr>
          <w:rFonts w:ascii="Arial" w:cs="Arial" w:eastAsia="Arial" w:hAnsi="Arial"/>
          <w:sz w:val="24"/>
          <w:szCs w:val="24"/>
        </w:rPr>
        <w:t xml:space="preserve">валовый внутренний продукт</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ГКЭД</w:t>
      </w:r>
      <w:r>
        <w:rPr>
          <w:rFonts w:ascii="Arial" w:cs="Arial" w:eastAsia="Arial" w:hAnsi="Arial"/>
          <w:sz w:val="24"/>
          <w:szCs w:val="24"/>
        </w:rPr>
        <w:t xml:space="preserve">	</w:t>
      </w:r>
      <w:r>
        <w:rPr>
          <w:rFonts w:ascii="Arial" w:cs="Arial" w:eastAsia="Arial" w:hAnsi="Arial"/>
          <w:sz w:val="24"/>
          <w:szCs w:val="24"/>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4"/>
          <w:szCs w:val="24"/>
        </w:rPr>
        <w:t xml:space="preserve">ГЛФ</w:t>
      </w:r>
      <w:r>
        <w:rPr>
          <w:rFonts w:ascii="Arial" w:cs="Arial" w:eastAsia="Arial" w:hAnsi="Arial"/>
          <w:sz w:val="24"/>
          <w:szCs w:val="24"/>
        </w:rPr>
        <w:t xml:space="preserve">	</w:t>
      </w:r>
      <w:r>
        <w:rPr>
          <w:rFonts w:ascii="Arial" w:cs="Arial" w:eastAsia="Arial" w:hAnsi="Arial"/>
          <w:sz w:val="24"/>
          <w:szCs w:val="24"/>
        </w:rPr>
        <w:t xml:space="preserve">государственный лесной фонд</w:t>
      </w:r>
    </w:p>
    <w:p>
      <w:pPr>
        <w:tabs>
          <w:tab w:val="right" w:pos="10178"/>
        </w:tabs>
        <w:spacing w:after="120"/>
      </w:pPr>
      <w:r>
        <w:rPr>
          <w:rFonts w:ascii="Arial" w:cs="Arial" w:eastAsia="Arial" w:hAnsi="Arial"/>
          <w:b/>
          <w:bCs/>
          <w:sz w:val="24"/>
          <w:szCs w:val="24"/>
        </w:rPr>
        <w:t xml:space="preserve">ГМО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w:t>
      </w:r>
    </w:p>
    <w:p>
      <w:pPr>
        <w:tabs>
          <w:tab w:val="right" w:pos="10178"/>
        </w:tabs>
        <w:spacing w:after="120"/>
      </w:pPr>
      <w:r>
        <w:rPr>
          <w:rFonts w:ascii="Arial" w:cs="Arial" w:eastAsia="Arial" w:hAnsi="Arial"/>
          <w:b/>
          <w:bCs/>
          <w:sz w:val="24"/>
          <w:szCs w:val="24"/>
        </w:rPr>
        <w:t xml:space="preserve">ГМО/ ЖИО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модифицированных организмах/живых измененных организмах</w:t>
      </w:r>
    </w:p>
    <w:p>
      <w:pPr>
        <w:tabs>
          <w:tab w:val="right" w:pos="10178"/>
        </w:tabs>
        <w:spacing w:after="120"/>
      </w:pPr>
      <w:r>
        <w:rPr>
          <w:rFonts w:ascii="Arial" w:cs="Arial" w:eastAsia="Arial" w:hAnsi="Arial"/>
          <w:b/>
          <w:bCs/>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заповедник</w:t>
      </w:r>
    </w:p>
    <w:p>
      <w:pPr>
        <w:tabs>
          <w:tab w:val="right" w:pos="10178"/>
        </w:tabs>
        <w:spacing w:after="120"/>
      </w:pPr>
      <w:r>
        <w:rPr>
          <w:rFonts w:ascii="Arial" w:cs="Arial" w:eastAsia="Arial" w:hAnsi="Arial"/>
          <w:b/>
          <w:bCs/>
          <w:sz w:val="24"/>
          <w:szCs w:val="24"/>
        </w:rPr>
        <w:t xml:space="preserve">ГПП</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парк</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ГЭС </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ДГЗ</w:t>
      </w:r>
      <w:r>
        <w:rPr>
          <w:rFonts w:ascii="Arial" w:cs="Arial" w:eastAsia="Arial" w:hAnsi="Arial"/>
          <w:sz w:val="24"/>
          <w:szCs w:val="24"/>
        </w:rPr>
        <w:t xml:space="preserve">	</w:t>
      </w:r>
      <w:r>
        <w:rPr>
          <w:rFonts w:ascii="Arial" w:cs="Arial" w:eastAsia="Arial" w:hAnsi="Arial"/>
          <w:sz w:val="24"/>
          <w:szCs w:val="24"/>
        </w:rPr>
        <w:t xml:space="preserve">Департамент государственных закупок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КАС</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"Кыргызская Ассоциация Страховщиков"</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Кыргызская фондовая биржа</w:t>
      </w:r>
    </w:p>
    <w:p>
      <w:pPr>
        <w:tabs>
          <w:tab w:val="right" w:pos="10178"/>
        </w:tabs>
        <w:spacing w:after="120"/>
      </w:pPr>
      <w:r>
        <w:rPr>
          <w:rFonts w:ascii="Arial" w:cs="Arial" w:eastAsia="Arial" w:hAnsi="Arial"/>
          <w:b/>
          <w:bCs/>
          <w:sz w:val="24"/>
          <w:szCs w:val="24"/>
        </w:rPr>
        <w:t xml:space="preserve">ЛВПЦ</w:t>
      </w:r>
      <w:r>
        <w:rPr>
          <w:rFonts w:ascii="Arial" w:cs="Arial" w:eastAsia="Arial" w:hAnsi="Arial"/>
          <w:sz w:val="24"/>
          <w:szCs w:val="24"/>
        </w:rPr>
        <w:t xml:space="preserve">	</w:t>
      </w:r>
      <w:r>
        <w:rPr>
          <w:rFonts w:ascii="Arial" w:cs="Arial" w:eastAsia="Arial" w:hAnsi="Arial"/>
          <w:sz w:val="24"/>
          <w:szCs w:val="24"/>
        </w:rPr>
        <w:t xml:space="preserve">леса высокой природоохранной ценности</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машинно-тракторные станции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ОВОС</w:t>
      </w:r>
      <w:r>
        <w:rPr>
          <w:rFonts w:ascii="Arial" w:cs="Arial" w:eastAsia="Arial" w:hAnsi="Arial"/>
          <w:sz w:val="24"/>
          <w:szCs w:val="24"/>
        </w:rPr>
        <w:t xml:space="preserve">	</w:t>
      </w:r>
      <w:r>
        <w:rPr>
          <w:rFonts w:ascii="Arial" w:cs="Arial" w:eastAsia="Arial" w:hAnsi="Arial"/>
          <w:sz w:val="24"/>
          <w:szCs w:val="24"/>
        </w:rPr>
        <w:t xml:space="preserve">оценка воздействия на окружающую среду</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окружающая среда</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w:t>
      </w:r>
    </w:p>
    <w:p>
      <w:pPr>
        <w:tabs>
          <w:tab w:val="right" w:pos="10178"/>
        </w:tabs>
        <w:spacing w:after="120"/>
      </w:pPr>
      <w:r>
        <w:rPr>
          <w:rFonts w:ascii="Arial" w:cs="Arial" w:eastAsia="Arial" w:hAnsi="Arial"/>
          <w:b/>
          <w:bCs/>
          <w:sz w:val="24"/>
          <w:szCs w:val="24"/>
        </w:rPr>
        <w:t xml:space="preserve">СИТЕС </w:t>
      </w:r>
      <w:r>
        <w:rPr>
          <w:rFonts w:ascii="Arial" w:cs="Arial" w:eastAsia="Arial" w:hAnsi="Arial"/>
          <w:sz w:val="24"/>
          <w:szCs w:val="24"/>
        </w:rPr>
        <w:t xml:space="preserve">	</w:t>
      </w:r>
      <w:r>
        <w:rPr>
          <w:rFonts w:ascii="Arial" w:cs="Arial" w:eastAsia="Arial" w:hAnsi="Arial"/>
          <w:sz w:val="24"/>
          <w:szCs w:val="24"/>
        </w:rPr>
        <w:t xml:space="preserve">Конвенция о международной торговле видами дикой фауны и флоры, находящимися под угрозой исчезновения</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ФЗЭ</w:t>
      </w:r>
      <w:r>
        <w:rPr>
          <w:rFonts w:ascii="Arial" w:cs="Arial" w:eastAsia="Arial" w:hAnsi="Arial"/>
          <w:sz w:val="24"/>
          <w:szCs w:val="24"/>
        </w:rPr>
        <w:t xml:space="preserve">	</w:t>
      </w:r>
      <w:r>
        <w:rPr>
          <w:rFonts w:ascii="Arial" w:cs="Arial" w:eastAsia="Arial" w:hAnsi="Arial"/>
          <w:sz w:val="24"/>
          <w:szCs w:val="24"/>
        </w:rPr>
        <w:t xml:space="preserve">Фонд зеленой энергетики</w:t>
      </w:r>
    </w:p>
    <w:p>
      <w:pPr>
        <w:tabs>
          <w:tab w:val="right" w:pos="10178"/>
        </w:tabs>
        <w:spacing w:after="120"/>
      </w:pPr>
      <w:r>
        <w:rPr>
          <w:rFonts w:ascii="Arial" w:cs="Arial" w:eastAsia="Arial" w:hAnsi="Arial"/>
          <w:b/>
          <w:bCs/>
          <w:sz w:val="24"/>
          <w:szCs w:val="24"/>
        </w:rPr>
        <w:t xml:space="preserve">ФПРТ</w:t>
      </w:r>
      <w:r>
        <w:rPr>
          <w:rFonts w:ascii="Arial" w:cs="Arial" w:eastAsia="Arial" w:hAnsi="Arial"/>
          <w:sz w:val="24"/>
          <w:szCs w:val="24"/>
        </w:rPr>
        <w:t xml:space="preserve">	</w:t>
      </w:r>
      <w:r>
        <w:rPr>
          <w:rFonts w:ascii="Arial" w:cs="Arial" w:eastAsia="Arial" w:hAnsi="Arial"/>
          <w:sz w:val="24"/>
          <w:szCs w:val="24"/>
        </w:rPr>
        <w:t xml:space="preserve">Фонд поддержки развития туризма</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ЦКФ</w:t>
      </w:r>
      <w:r>
        <w:rPr>
          <w:rFonts w:ascii="Arial" w:cs="Arial" w:eastAsia="Arial" w:hAnsi="Arial"/>
          <w:sz w:val="24"/>
          <w:szCs w:val="24"/>
        </w:rPr>
        <w:t xml:space="preserve">	</w:t>
      </w:r>
      <w:r>
        <w:rPr>
          <w:rFonts w:ascii="Arial" w:cs="Arial" w:eastAsia="Arial" w:hAnsi="Arial"/>
          <w:sz w:val="24"/>
          <w:szCs w:val="24"/>
        </w:rPr>
        <w:t xml:space="preserve">Центр климатического финансирования при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МАТРИЦА
 индикаторов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65"/>
        <w:gridCol w:w="1041"/>
        <w:gridCol w:w="677"/>
        <w:gridCol w:w="839"/>
        <w:gridCol w:w="839"/>
        <w:gridCol w:w="839"/>
        <w:gridCol w:w="839"/>
        <w:gridCol w:w="826"/>
        <w:gridCol w:w="1024"/>
        <w:gridCol w:w="909"/>
      </w:tblGrid>
      <w:tr>
        <w:tc>
          <w:tcPr>
            <w:tcW w:type="dxa" w:w="2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r>
              <w:rPr>
                <w:rFonts w:ascii="Arial" w:cs="Arial" w:eastAsia="Arial" w:hAnsi="Arial"/>
                <w:b/>
                <w:bCs/>
                <w:sz w:val="24"/>
                <w:szCs w:val="24"/>
              </w:rPr>
              <w:t xml:space="preserve">(2023 год)</w:t>
            </w:r>
          </w:p>
        </w:tc>
        <w:tc>
          <w:tcPr>
            <w:tcW w:type="dxa" w:w="3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0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9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улучшить позицию страны по индексу достижения ЦУР как минимум на 15 пунктов за счет минимизации негативных экологических последствий и создания условий для перехода экономики к инновационному и экологичному развитию</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достижения ЦУР</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Позиция страны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r>
              <w:rPr>
                <w:rFonts w:ascii="Arial" w:cs="Arial" w:eastAsia="Arial" w:hAnsi="Arial"/>
                <w:sz w:val="24"/>
                <w:szCs w:val="24"/>
              </w:rPr>
              <w:t xml:space="preserve">(из 166)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SDG Transformation Center</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Энергоемкость ВВП (ЦУР 7.3.1.1.)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 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многомерной бедности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выбросов парниковых газов относительно сценария БКО (бизнес как обычно) за счет внутренних ресурсов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безопасно очищаемых хозяйственно-бытовых и промышленных сточных вод (ЦУР 6.3.1.)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каждого занятого (ЦУР 8.2.1.)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добавленной стоимости продукции среднетехнологичных и высокотехнологичных отраслей в общем объеме добавленной̆ стоимости (ЦУР 9.b.1)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Естественные экосистемы и биоразнообразие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сохранение, восстановление целостности и устойчивости экосистем не менее чем на 30% территории страны через совершенствование управления, учет природного капитала, экономические и социальные меры для обеспечения устойчивого развития и справедливого доступа к природным ресурсам для всех групп населения</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ООПТ от всей площади страны (ЦУР 15.1.2.1)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Департамент сохранения биоразнообразия и ООПТ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лесных площадей, расположенных в природоохранных зонах (ЦУР 15.2.1)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r>
              <w:rPr>
                <w:rFonts w:ascii="Arial" w:cs="Arial" w:eastAsia="Arial" w:hAnsi="Arial"/>
                <w:sz w:val="24"/>
                <w:szCs w:val="24"/>
              </w:rPr>
              <w:t xml:space="preserve">(2021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0,2%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Департамент сохранения биоразнообразия и ООПТ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лесов в процентном отношении к общей площади страны (ЦУР 15.1.1.1)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r>
              <w:rPr>
                <w:rFonts w:ascii="Arial" w:cs="Arial" w:eastAsia="Arial" w:hAnsi="Arial"/>
                <w:sz w:val="24"/>
                <w:szCs w:val="24"/>
              </w:rPr>
              <w:t xml:space="preserve">(2011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чистого изменения площади лесов в год, га (ЦУР 15.2.1)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723,8</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удовлетворенной потребности мер по сохранению биоразнообразия (НСПДСБ)</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проект Биофин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органов местного самоуправления, куда были интегрированы вопросы сохранения биоразнообразия </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государственных средств, выделяемых на охрану окружающей среды (ЦУР 15.b.1.1)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Зеленая энергетика</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повышение энергетической безопасности и переход к низкоуглеродной зеленой энергетике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малых ГЭС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СЭС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установленная мощность генерации электроэнергии переменными возобновляемыми источниками энергии как доля установленной мощности ГЭС Кыргызской энергосистемы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выработки электроэнергии электростанций с использованием ВИЭ от общей выработки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имеющая стабильный доступ к электроэнергии (ЦУР 7.1.1)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аккумуляторов для СЭС и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емкость аккумуляторов для СЭС и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тепловых станций с использованием ВИЭ</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установленной мощности тепловых станций с использованием ВИЭ от общей установленной мощности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ВИЭ от общей выработки тепловой энергии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использующая чистые виды топлива (ЦУР 7.1.2)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Отчетность энергокомпаний и информация о развитии сектора энергетики представлена на сайтах энергокомпаний, сайтах Минэнерго и НСК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технических и финансовых отчетов энергокомпаний на веб-сайтах</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Составлены карты районов с местами возможного размещения ВИЭ</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качестве студентов, обучающихся по специальности "Электро- и теплоэнергетика" в системе среднего профессионального образования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качестве студентов, обучающихся по специальности "Энергетика и электроэнергетика" в системе высшего профессионального образования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снижение энергоемкости ВВП Кыргызской Республики на 20% к показателю 2022 года для повышения эффективности использования ресурсов и снижения потерь энергии, внедрение передовых технологий и мер энергоэффективности в жилищном и промышленном секторах, развитие и распространение передовых подходов управления, которые позволяют оптимизировать потребление энергии и вносят вклад в достижение энергетической безопасности, содействуя значительному улучшению экологической ситуации в стране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Электроемкость ВВП (ЦУР 7.3.1.2.)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кВт</w:t>
            </w:r>
            <w:r>
              <w:rPr>
                <w:rFonts w:ascii="Arial" w:cs="Arial" w:eastAsia="Arial" w:hAnsi="Arial"/>
                <w:sz w:val="24"/>
                <w:szCs w:val="24"/>
              </w:rPr>
              <w:t xml:space="preserve">⋅</w:t>
            </w:r>
            <w:r>
              <w:rPr>
                <w:rFonts w:ascii="Arial" w:cs="Arial" w:eastAsia="Arial" w:hAnsi="Arial"/>
                <w:sz w:val="24"/>
                <w:szCs w:val="24"/>
              </w:rPr>
              <w:t xml:space="preserve">ч на 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в электросетях общего пользования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w:t>
            </w:r>
            <w:r>
              <w:rPr>
                <w:rFonts w:ascii="Arial" w:cs="Arial" w:eastAsia="Arial" w:hAnsi="Arial"/>
                <w:sz w:val="24"/>
                <w:szCs w:val="24"/>
              </w:rPr>
              <w:t xml:space="preserve">⋅</w:t>
            </w:r>
            <w:r>
              <w:rPr>
                <w:rFonts w:ascii="Arial" w:cs="Arial" w:eastAsia="Arial" w:hAnsi="Arial"/>
                <w:sz w:val="24"/>
                <w:szCs w:val="24"/>
              </w:rPr>
              <w:t xml:space="preserve">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2388.5</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общественных зданий, прошедших энергетическое обследование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Экономия на электричестве в общественных зданиях, прошедших энергореновацию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Мвтч/год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отчетности</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независимых специалистов, прошедших аккредитацию по энергосертификации зданий и периодическому контролю котлов, систем отопления и ГВС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r>
              <w:rPr>
                <w:rFonts w:ascii="Arial" w:cs="Arial" w:eastAsia="Arial" w:hAnsi="Arial"/>
                <w:sz w:val="24"/>
                <w:szCs w:val="24"/>
              </w:rPr>
              <w:t xml:space="preserve">(не менее 30 - женщины)</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"Зеленое" сельское хозяйство</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повышение производительности сельского хозяйства и продовольственной безопасности на основе внедрения экологически чистых и ресурсно-эффективных практик и технологий (вода, почва, энергия), а также повышение потенциала и доступ к финансированию</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выданных льготных кредитов для поддержки "зеленого" сельского хозяйства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Млрд.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ОАО "Айыл Банк", ОАО "Элдик Банк"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и отремонтированных водохозяйственных объектов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 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 МВСХПП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воды при транспортировке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к общему объему забора воды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r>
              <w:rPr>
                <w:rFonts w:ascii="Arial" w:cs="Arial" w:eastAsia="Arial" w:hAnsi="Arial"/>
                <w:sz w:val="24"/>
                <w:szCs w:val="24"/>
              </w:rPr>
              <w:t xml:space="preserve">(2022)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восстановленных пастбищ (подсев семян пастбищных трав на пастбищных участках)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законсервированных пастбищ </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освоенных малопродуктивных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под органическим сельскохозяйственным производством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Недропользование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средств в фонде рекультивации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средств фонда рекультивации, использованная непосредственно на рекультивацию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нуждающихся в рекультивации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рекультивированных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Низкоэмиссионный транспорт</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для поступательного перехода к углеродной нейтральности в транспортном секторе страны к 2029 году добиться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b/>
                <w:bCs/>
                <w:sz w:val="20"/>
                <w:szCs w:val="20"/>
              </w:rPr>
              <w:t xml:space="preserve">2</w:t>
            </w:r>
            <w:r>
              <w:rPr>
                <w:rFonts w:ascii="Arial" w:cs="Arial" w:eastAsia="Arial" w:hAnsi="Arial"/>
                <w:b/>
                <w:bCs/>
                <w:sz w:val="24"/>
                <w:szCs w:val="24"/>
              </w:rPr>
              <w:t xml:space="preserve"> в крупных городах и обучив 500 специалистов для обслуживания электромобилей, сопровождаемых утилизацией старого автопарка</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электромобилей в общем парке зарегистрированных транспортных средств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 в атмосферный воздух от транспортных средств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локаций для ЭЗС (не менее 22 кВт)</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ЭЗС (не менее 22 кВт)</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закупленных единиц низкоэмиссионного общественного транспорта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Ош и Бишкек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Ош и Бишкек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Устойчивый туризм</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к 2029 году сфера туризма выходит на устойчивый уровень развития, обеспечив минимум 7% вклада в ВВП страны через эффективное управление, удваивание экспорта туристских услуг и количества занятых, а также сохранения экологических систем и ресурсов</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сферы туризма в ВВП страны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рабочих мест в сфере туризма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человек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r>
              <w:rPr>
                <w:rFonts w:ascii="Arial" w:cs="Arial" w:eastAsia="Arial" w:hAnsi="Arial"/>
                <w:sz w:val="24"/>
                <w:szCs w:val="24"/>
              </w:rPr>
              <w:t xml:space="preserve">(49,9% - женщины, 50,1% - мужчины)</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r>
              <w:rPr>
                <w:rFonts w:ascii="Arial" w:cs="Arial" w:eastAsia="Arial" w:hAnsi="Arial"/>
                <w:sz w:val="24"/>
                <w:szCs w:val="24"/>
              </w:rPr>
              <w:t xml:space="preserve">(50,3% - женщины, 1%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r>
              <w:rPr>
                <w:rFonts w:ascii="Arial" w:cs="Arial" w:eastAsia="Arial" w:hAnsi="Arial"/>
                <w:sz w:val="24"/>
                <w:szCs w:val="24"/>
              </w:rPr>
              <w:t xml:space="preserve">(52% - женщины, 2%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r>
              <w:rPr>
                <w:rFonts w:ascii="Arial" w:cs="Arial" w:eastAsia="Arial" w:hAnsi="Arial"/>
                <w:sz w:val="24"/>
                <w:szCs w:val="24"/>
              </w:rPr>
              <w:t xml:space="preserve">(55% - женщины, 3%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r>
              <w:rPr>
                <w:rFonts w:ascii="Arial" w:cs="Arial" w:eastAsia="Arial" w:hAnsi="Arial"/>
                <w:sz w:val="24"/>
                <w:szCs w:val="24"/>
              </w:rPr>
              <w:t xml:space="preserve">(57,5% - женщины, 4% - ЛОВЗ)</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(60% - женщины, 5% - ЛОВЗ)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в сфере туризма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поступлений за счет внедренных экосборов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МПРЭТР,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ГЧП проектов из числа простаивающих и недостроенных туристских объектов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сертифицированных туристских объектов по экологичности и энергоресурсоэффективности (национальная система классификации, экосертификация, тревеллайв и т.д.)</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дневных автобусных рейсов, преимущественно с двигателями на газу:</w:t>
            </w:r>
          </w:p>
        </w:tc>
        <w:tc>
          <w:tcPr>
            <w:tcW w:type="dxa" w:w="10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Рейсы в день</w:t>
            </w:r>
          </w:p>
        </w:tc>
        <w:tc>
          <w:tcPr>
            <w:tcW w:type="dxa" w:w="6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ПП ПКР в областях</w:t>
            </w:r>
          </w:p>
        </w:tc>
        <w:tc>
          <w:tcPr>
            <w:tcW w:type="dxa" w:w="9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vMerge w:val="continue"/>
            <w:tcBorders>
              <w:top w:val="none" w:color="auto" w:sz="0"/>
              <w:left w:val="single" w:color="CBBF9E" w:sz="4"/>
              <w:bottom w:val="single" w:color="CBBF9E" w:sz="4"/>
              <w:right w:val="single" w:color="CBBF9E" w:sz="4"/>
            </w:tcBorders>
          </w:tcPr>
          <w:p/>
        </w:tc>
        <w:tc>
          <w:tcPr>
            <w:tcW w:type="dxa" w:w="20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Бишкек - Каракол - Бишкек (северный и южный берег);</w:t>
            </w:r>
          </w:p>
        </w:tc>
        <w:tc>
          <w:tcPr>
            <w:vMerge w:val="continue"/>
            <w:tcBorders>
              <w:top w:val="none" w:color="auto" w:sz="0"/>
              <w:left w:val="none" w:color="auto" w:sz="0"/>
              <w:bottom w:val="single" w:color="CBBF9E" w:sz="4"/>
              <w:right w:val="single" w:color="CBBF9E" w:sz="4"/>
            </w:tcBorders>
          </w:tcPr>
          <w:p/>
        </w:tc>
        <w:tc>
          <w:tcPr>
            <w:tcW w:type="dxa" w:w="6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Бишкек - Нарын - Бишкек</w:t>
            </w:r>
          </w:p>
        </w:tc>
        <w:tc>
          <w:tcPr>
            <w:vMerge w:val="continue"/>
            <w:tcBorders>
              <w:top w:val="none" w:color="auto" w:sz="0"/>
              <w:left w:val="none" w:color="auto" w:sz="0"/>
              <w:bottom w:val="single" w:color="CBBF9E" w:sz="4"/>
              <w:right w:val="single" w:color="CBBF9E" w:sz="4"/>
            </w:tcBorders>
          </w:tcP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снижение объемов твердых бытовых отходов, попадающих на свалки Кыргызской Республики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твердых бытовых отходов, вывезенных на свалки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w:t>
            </w:r>
            <w:r>
              <w:rPr>
                <w:rFonts w:ascii="Arial" w:cs="Arial" w:eastAsia="Arial" w:hAnsi="Arial"/>
                <w:sz w:val="24"/>
                <w:szCs w:val="24"/>
              </w:rPr>
              <w:t xml:space="preserve">(на 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отходов производства и потребления, переданных другим предприятиям для захоронения, обезвреживания и использования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избавляющаяся от отходов посредством вывоза грузовиком и сбросом в контейнеры (покрытие населения вывозом твердых бытовых отходов)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пунктов раздельного сбора и сортировочных площадок (в норме - 1 пункт на 700 жителей в городах)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переработанных отходов от упаковки и тары во вторичное сырье и готовую продукцию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(оператор РОП)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и законсервированных несанкционированных свалок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Устойчивое финансирование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развитие необходимой инфраструктуры на финансовом рынке и рынке капитала посредством стимулирования создания инструментов финансирования устойчивого развития через согласование и внедрение стандартов и принципов зеленого финансирования, способствование внедрению практик корпоративного управления, необходимых для ESG-трансформации бизнеса и повышения прозрачности их деятельности, системы оценки социальных и экологических рисков и раскрытия нефинансовой информации в деятельности по финансированию различных секторов экономики Кыргызской Республики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зеленого финансирования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 НБКР, Финнадзор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Финнадзор, НСК, СБК, АМФО</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климатического финансирования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МПРТЭН, МФ</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выпуска зеленых облигаций (целевые)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Финнадзор, КФБ,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Финнадзор, КФБ</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финансовых организаций, интегрировавших ESG-факторы в процессы оценки рисков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банков/МФО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финансовых организаций, раскрывающих информации об ESG-факторах в соответствии с признанными стандартами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банков/МФО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Фискальное стимулирование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развитие и оптимизация фискальных механизмов для поддержки и стимулирования устойчивого экономического развития Кыргызской Республики, повышение энергоэффективности и сокращение отрицательного воздействия на окружающую среду, а также поддержка инноваций в сфере экологически устойчивых технологий и проектов</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 двухколесных и прочих велосипедов, мотоциклов (включая мопеды), велосипедов и самокатов, приводимых в движение электрическим двигателем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 ГТС при МФ, 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 зеленую экономику из государственного бюджета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государственные закупки</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увеличить долю устойчивых/зеленых государственных закупок до 30 процентов от общего объема государственных финансов на закупки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УГЗ в общем стоимостном объеме закупок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УГЗ в общем числе состоявшихся контрактов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реализацией и мониторинг программы</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создание эффективной системы мониторинга и оценки зеленой экономики Кыргызской Республики, обеспечивающей своевременное, точное, консолидированное и прозрачное представление данных о прогрессе и результатах реализации программы путем укрепления координации между государственными органами, бизнесом и международными партнерами, внедрение и актуализация национальных и секторальных индикаторов, улучшение межведомственного и внутриведомственного взаимодействия, создание и поддержка электронной платформы для мониторинга и оценки, систематическая и открытая отчетность и проведение внешних независимых оценок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индикаторно-ориентированных отчетов по программе зеленой экономики Кыргызской Республики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сотрудников, работающих по МиО, с повышенными компетенциями по работе с индикаторами и отчетностью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данных, обрабатываемых на электронной платформе МиО в строгом соответствии с инструкциями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посетителей электронной платформы МиО, обращающихся к отчетам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bl>
    <w:p>
      <w:pPr>
        <w:spacing w:after="60" w:before="120"/>
        <w:ind w:firstLine="567"/>
        <w:jc w:val="both"/>
      </w:pPr>
      <w:r>
        <w:rPr>
          <w:rFonts w:ascii="Arial" w:cs="Arial" w:eastAsia="Arial" w:hAnsi="Arial"/>
          <w:sz w:val="24"/>
          <w:szCs w:val="24"/>
        </w:rPr>
        <w:t xml:space="preserve">(*) - базовые значения показателей системы МиО должны быть установлены независимой оценочной фирмой по итогам базовой оценки проекта в начале 2025 года, при необходимости спрогнозированы целевые показатели. Фактические целевые значения индикаторов независимая фирма измеряет в конце 2028 года (в начале 2029 года) в ходе итоговой оценки программы. Значения показателей по годам не приводятся.</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GHG Protocol</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для учета выбросов углекислого газа (Greenhouse Gas Protocol)</w:t>
      </w:r>
    </w:p>
    <w:p>
      <w:pPr>
        <w:tabs>
          <w:tab w:val="right" w:pos="10178"/>
        </w:tabs>
        <w:spacing w:after="120"/>
      </w:pPr>
      <w:r>
        <w:rPr>
          <w:rFonts w:ascii="Arial" w:cs="Arial" w:eastAsia="Arial" w:hAnsi="Arial"/>
          <w:b/>
          <w:bCs/>
          <w:sz w:val="24"/>
          <w:szCs w:val="24"/>
        </w:rPr>
        <w:t xml:space="preserve">АРИС</w:t>
      </w:r>
      <w:r>
        <w:rPr>
          <w:rFonts w:ascii="Arial" w:cs="Arial" w:eastAsia="Arial" w:hAnsi="Arial"/>
          <w:sz w:val="24"/>
          <w:szCs w:val="24"/>
        </w:rPr>
        <w:t xml:space="preserve">	</w:t>
      </w:r>
      <w:r>
        <w:rPr>
          <w:rFonts w:ascii="Arial" w:cs="Arial" w:eastAsia="Arial" w:hAnsi="Arial"/>
          <w:sz w:val="24"/>
          <w:szCs w:val="24"/>
        </w:rPr>
        <w:t xml:space="preserve">Агентство развития и инвестирования сообществ</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ВЭС</w:t>
      </w:r>
      <w:r>
        <w:rPr>
          <w:rFonts w:ascii="Arial" w:cs="Arial" w:eastAsia="Arial" w:hAnsi="Arial"/>
          <w:sz w:val="24"/>
          <w:szCs w:val="24"/>
        </w:rPr>
        <w:t xml:space="preserve">	</w:t>
      </w:r>
      <w:r>
        <w:rPr>
          <w:rFonts w:ascii="Arial" w:cs="Arial" w:eastAsia="Arial" w:hAnsi="Arial"/>
          <w:sz w:val="24"/>
          <w:szCs w:val="24"/>
        </w:rPr>
        <w:t xml:space="preserve">ветряная электростанция</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ГВС</w:t>
      </w:r>
      <w:r>
        <w:rPr>
          <w:rFonts w:ascii="Arial" w:cs="Arial" w:eastAsia="Arial" w:hAnsi="Arial"/>
          <w:sz w:val="24"/>
          <w:szCs w:val="24"/>
        </w:rPr>
        <w:t xml:space="preserve">	</w:t>
      </w:r>
      <w:r>
        <w:rPr>
          <w:rFonts w:ascii="Arial" w:cs="Arial" w:eastAsia="Arial" w:hAnsi="Arial"/>
          <w:sz w:val="24"/>
          <w:szCs w:val="24"/>
        </w:rPr>
        <w:t xml:space="preserve">горячее водоснабжение</w:t>
      </w:r>
    </w:p>
    <w:p>
      <w:pPr>
        <w:tabs>
          <w:tab w:val="right" w:pos="10178"/>
        </w:tabs>
        <w:spacing w:after="120"/>
      </w:pPr>
      <w:r>
        <w:rPr>
          <w:rFonts w:ascii="Arial" w:cs="Arial" w:eastAsia="Arial" w:hAnsi="Arial"/>
          <w:b/>
          <w:bCs/>
          <w:sz w:val="24"/>
          <w:szCs w:val="24"/>
        </w:rPr>
        <w:t xml:space="preserve">ГКЭД</w:t>
      </w:r>
      <w:r>
        <w:rPr>
          <w:rFonts w:ascii="Arial" w:cs="Arial" w:eastAsia="Arial" w:hAnsi="Arial"/>
          <w:sz w:val="24"/>
          <w:szCs w:val="24"/>
        </w:rPr>
        <w:t xml:space="preserve">	</w:t>
      </w:r>
      <w:r>
        <w:rPr>
          <w:rFonts w:ascii="Arial" w:cs="Arial" w:eastAsia="Arial" w:hAnsi="Arial"/>
          <w:sz w:val="24"/>
          <w:szCs w:val="24"/>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4"/>
          <w:szCs w:val="24"/>
        </w:rPr>
        <w:t xml:space="preserve">ГЛФ</w:t>
      </w:r>
      <w:r>
        <w:rPr>
          <w:rFonts w:ascii="Arial" w:cs="Arial" w:eastAsia="Arial" w:hAnsi="Arial"/>
          <w:sz w:val="24"/>
          <w:szCs w:val="24"/>
        </w:rPr>
        <w:t xml:space="preserve">	</w:t>
      </w:r>
      <w:r>
        <w:rPr>
          <w:rFonts w:ascii="Arial" w:cs="Arial" w:eastAsia="Arial" w:hAnsi="Arial"/>
          <w:sz w:val="24"/>
          <w:szCs w:val="24"/>
        </w:rPr>
        <w:t xml:space="preserve">государственный лесной фонд</w:t>
      </w:r>
    </w:p>
    <w:p>
      <w:pPr>
        <w:tabs>
          <w:tab w:val="right" w:pos="10178"/>
        </w:tabs>
        <w:spacing w:after="120"/>
      </w:pPr>
      <w:r>
        <w:rPr>
          <w:rFonts w:ascii="Arial" w:cs="Arial" w:eastAsia="Arial" w:hAnsi="Arial"/>
          <w:b/>
          <w:bCs/>
          <w:sz w:val="24"/>
          <w:szCs w:val="24"/>
        </w:rPr>
        <w:t xml:space="preserve">ГМО/ЖИО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организмы/живые измененные организмы</w:t>
      </w:r>
    </w:p>
    <w:p>
      <w:pPr>
        <w:tabs>
          <w:tab w:val="right" w:pos="10178"/>
        </w:tabs>
        <w:spacing w:after="120"/>
      </w:pPr>
      <w:r>
        <w:rPr>
          <w:rFonts w:ascii="Arial" w:cs="Arial" w:eastAsia="Arial" w:hAnsi="Arial"/>
          <w:b/>
          <w:bCs/>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заповедник</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ДГЗ</w:t>
      </w:r>
      <w:r>
        <w:rPr>
          <w:rFonts w:ascii="Arial" w:cs="Arial" w:eastAsia="Arial" w:hAnsi="Arial"/>
          <w:sz w:val="24"/>
          <w:szCs w:val="24"/>
        </w:rPr>
        <w:t xml:space="preserve">	</w:t>
      </w:r>
      <w:r>
        <w:rPr>
          <w:rFonts w:ascii="Arial" w:cs="Arial" w:eastAsia="Arial" w:hAnsi="Arial"/>
          <w:sz w:val="24"/>
          <w:szCs w:val="24"/>
        </w:rPr>
        <w:t xml:space="preserve">Департамент государственных закупок</w:t>
      </w:r>
    </w:p>
    <w:p>
      <w:pPr>
        <w:tabs>
          <w:tab w:val="right" w:pos="10178"/>
        </w:tabs>
        <w:spacing w:after="120"/>
      </w:pPr>
      <w:r>
        <w:rPr>
          <w:rFonts w:ascii="Arial" w:cs="Arial" w:eastAsia="Arial" w:hAnsi="Arial"/>
          <w:b/>
          <w:bCs/>
          <w:sz w:val="24"/>
          <w:szCs w:val="24"/>
        </w:rPr>
        <w:t xml:space="preserve">ДТ МЭК</w:t>
      </w:r>
      <w:r>
        <w:rPr>
          <w:rFonts w:ascii="Arial" w:cs="Arial" w:eastAsia="Arial" w:hAnsi="Arial"/>
          <w:sz w:val="24"/>
          <w:szCs w:val="24"/>
        </w:rPr>
        <w:t xml:space="preserve">	</w:t>
      </w:r>
      <w:r>
        <w:rPr>
          <w:rFonts w:ascii="Arial" w:cs="Arial" w:eastAsia="Arial" w:hAnsi="Arial"/>
          <w:sz w:val="24"/>
          <w:szCs w:val="24"/>
        </w:rPr>
        <w:t xml:space="preserve">Департамент туризма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Кыргызская фондовая биржа</w:t>
      </w:r>
    </w:p>
    <w:p>
      <w:pPr>
        <w:tabs>
          <w:tab w:val="right" w:pos="10178"/>
        </w:tabs>
        <w:spacing w:after="120"/>
      </w:pPr>
      <w:r>
        <w:rPr>
          <w:rFonts w:ascii="Arial" w:cs="Arial" w:eastAsia="Arial" w:hAnsi="Arial"/>
          <w:b/>
          <w:bCs/>
          <w:sz w:val="24"/>
          <w:szCs w:val="24"/>
        </w:rPr>
        <w:t xml:space="preserve">ЛВПЦ</w:t>
      </w:r>
      <w:r>
        <w:rPr>
          <w:rFonts w:ascii="Arial" w:cs="Arial" w:eastAsia="Arial" w:hAnsi="Arial"/>
          <w:sz w:val="24"/>
          <w:szCs w:val="24"/>
        </w:rPr>
        <w:t xml:space="preserve">	</w:t>
      </w:r>
      <w:r>
        <w:rPr>
          <w:rFonts w:ascii="Arial" w:cs="Arial" w:eastAsia="Arial" w:hAnsi="Arial"/>
          <w:sz w:val="24"/>
          <w:szCs w:val="24"/>
        </w:rPr>
        <w:t xml:space="preserve">леса высокой природоохранной ценности</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МСАЖКХ</w:t>
      </w:r>
      <w:r>
        <w:rPr>
          <w:rFonts w:ascii="Arial" w:cs="Arial" w:eastAsia="Arial" w:hAnsi="Arial"/>
          <w:sz w:val="24"/>
          <w:szCs w:val="24"/>
        </w:rPr>
        <w:t xml:space="preserve">	</w:t>
      </w: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b/>
          <w:bCs/>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машинно-тракторные станции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ОВОС</w:t>
      </w:r>
      <w:r>
        <w:rPr>
          <w:rFonts w:ascii="Arial" w:cs="Arial" w:eastAsia="Arial" w:hAnsi="Arial"/>
          <w:sz w:val="24"/>
          <w:szCs w:val="24"/>
        </w:rPr>
        <w:t xml:space="preserve">	</w:t>
      </w:r>
      <w:r>
        <w:rPr>
          <w:rFonts w:ascii="Arial" w:cs="Arial" w:eastAsia="Arial" w:hAnsi="Arial"/>
          <w:sz w:val="24"/>
          <w:szCs w:val="24"/>
        </w:rPr>
        <w:t xml:space="preserve">оценка воздействия на окружающую среду</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окружающая среда</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СВР</w:t>
      </w:r>
      <w:r>
        <w:rPr>
          <w:rFonts w:ascii="Arial" w:cs="Arial" w:eastAsia="Arial" w:hAnsi="Arial"/>
          <w:sz w:val="24"/>
          <w:szCs w:val="24"/>
        </w:rPr>
        <w:t xml:space="preserve">	</w:t>
      </w:r>
      <w:r>
        <w:rPr>
          <w:rFonts w:ascii="Arial" w:cs="Arial" w:eastAsia="Arial" w:hAnsi="Arial"/>
          <w:sz w:val="24"/>
          <w:szCs w:val="24"/>
        </w:rPr>
        <w:t xml:space="preserve">Служба водных ресурсов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СИТЕС</w:t>
      </w:r>
      <w:r>
        <w:rPr>
          <w:rFonts w:ascii="Arial" w:cs="Arial" w:eastAsia="Arial" w:hAnsi="Arial"/>
          <w:sz w:val="24"/>
          <w:szCs w:val="24"/>
        </w:rPr>
        <w:t xml:space="preserve">	</w:t>
      </w:r>
      <w:r>
        <w:rPr>
          <w:rFonts w:ascii="Arial" w:cs="Arial" w:eastAsia="Arial" w:hAnsi="Arial"/>
          <w:sz w:val="24"/>
          <w:szCs w:val="24"/>
        </w:rPr>
        <w:t xml:space="preserve">Конвенция о международной торговле видами дикой фауны и флоры, находящимися под угрозой исчезновения</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солнечная электростанция</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ФПРТ</w:t>
      </w:r>
      <w:r>
        <w:rPr>
          <w:rFonts w:ascii="Arial" w:cs="Arial" w:eastAsia="Arial" w:hAnsi="Arial"/>
          <w:sz w:val="24"/>
          <w:szCs w:val="24"/>
        </w:rPr>
        <w:t xml:space="preserve">	</w:t>
      </w:r>
      <w:r>
        <w:rPr>
          <w:rFonts w:ascii="Arial" w:cs="Arial" w:eastAsia="Arial" w:hAnsi="Arial"/>
          <w:sz w:val="24"/>
          <w:szCs w:val="24"/>
        </w:rPr>
        <w:t xml:space="preserve">Фонд поддержки развития туризма</w:t>
      </w:r>
    </w:p>
    <w:p>
      <w:pPr>
        <w:tabs>
          <w:tab w:val="right" w:pos="10178"/>
        </w:tabs>
        <w:spacing w:after="120"/>
      </w:pPr>
      <w:r>
        <w:rPr>
          <w:rFonts w:ascii="Arial" w:cs="Arial" w:eastAsia="Arial" w:hAnsi="Arial"/>
          <w:b/>
          <w:bCs/>
          <w:sz w:val="24"/>
          <w:szCs w:val="24"/>
        </w:rPr>
        <w:t xml:space="preserve">ЦК МФ</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Оценка ресурсной стоимости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661"/>
        <w:gridCol w:w="1049"/>
        <w:gridCol w:w="1049"/>
        <w:gridCol w:w="1049"/>
        <w:gridCol w:w="692"/>
        <w:gridCol w:w="692"/>
        <w:gridCol w:w="692"/>
        <w:gridCol w:w="150"/>
        <w:gridCol w:w="150"/>
        <w:gridCol w:w="150"/>
        <w:gridCol w:w="998"/>
        <w:gridCol w:w="998"/>
      </w:tblGrid>
      <w:tr>
        <w:tc>
          <w:tcPr>
            <w:tcW w:type="dxa" w:w="18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31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w:t>
            </w:r>
          </w:p>
        </w:tc>
        <w:tc>
          <w:tcPr>
            <w:tcW w:type="dxa" w:w="20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Возможность</w:t>
            </w:r>
          </w:p>
        </w:tc>
        <w:tc>
          <w:tcPr>
            <w:tcW w:type="dxa" w:w="4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Финансовый разрыв</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Программе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5343262,2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5259431,9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4250849,3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4167019,1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-1092412,9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-1092412,9</w:t>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6652869,5</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6602147,8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4206204,8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4155483,0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-2446664,8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-2446664,8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5551920,4</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5524091,0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28324,4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27829,4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-5523596,0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-5523596,0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5812450,7</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5781055,8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31889,9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31394,9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-5780560,8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-5780560,8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23360502,9</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193776,4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23166726,5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8517268,5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193776,4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8323492,1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-14843234,4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-14843234,4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Естественные экосистемы и биоразнообразие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117366,3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30284,1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-87082,2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-87082,2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113118,2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Формирование экологической политики по вопросам сохранения экосистем и биоразнообразия в контексте устойчивого развития и изменения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6138,0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Сохранение природного капитала в ООПТ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Сохранение и устойчивое использование лесных экосистем и видового разнообразия в условиях изменения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23418,3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Восстановление деградированных земель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21410,1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Учет ценности экосистем, природного капитала в планировании развития на всех уровнях принятия решений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Внедрение экономических механизмов стимулирования сохранения экосистем и биоразнообразия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Внедрение природосберегающих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Снижение рисков загрязнения окружающей среды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Адаптация к изменению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 Повышение эффективности участия в переговорах на международном уровне</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Зеленая энергетика</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488334,0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479154,0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-477944,0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-477944,0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Внедрение долгосрочного энергетического планирования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Проведение нормативной правовой реформы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Внедрение поддерживающих механизмов энергетической политики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Содействие снижению инвестиционных рисков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Расширение технической интеграции ВИЭ в энергетическую систему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Наращивание потенциала в государственном и частном секторах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Участие в региональных энергетических рынках и международное сотрудничество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Энергоэффективность</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Улучшение нормативных правовых актов (НПА), норм и стандартов </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Улучшение методик расчетов и норм потребления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Разработка региональных, ведомственных планов, базы данных потребителей энергии, проведение энергетического аудита организаций и энергетической сертификации зданий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Привлечение финансовых ресурсов для целей энергосбережения и энергоэффективности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Разработка новых учебных курсов. Повышение потенциала независимых специалистов и сотрудников в министерствах и ведомствах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Обеспечение качества ведения государственного реестра по энергетической сертификации зданий и аккредитации независимых специалистов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Повышение информированности населения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3279,375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"Зеленое" сельское хозяйство</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1798840,9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2000212,9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2224943,9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Государственная поддержка зеленого сельского хозяйства для обеспечения ее устойчивого развития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940339,5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1019170,5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1019170,5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Повышение устойчивости животноводства через восстановление пастбищных ресурсов и применение инновационных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858024,2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959687,6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1173739,2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Создание системы устойчивого земледелия через развитие методов органического земледелия, управление почвенным плодородием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25444,7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Повышение потенциала посредством улучшения информирования, обучения и образования в сфере зеленого сельского хозяйства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Адаптация к климатическим изменениям и уменьшение их негативных воздействий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6288,6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Недропользование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Разработка и внесение изменений в нормативные правовые акты в сфере недропользования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Эффективное управление фондом рекультивации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Разработка единой информационной системы в сфере недропользования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1836,45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Низкоэмиссионный транспорт</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443275,3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-441735,3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-441735,3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467317,5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465433,5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-464938,5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-464938,5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3423087,3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3421053,3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-3420558,3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-3420558,3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3448513,8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3446257,8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-3445762,8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-3445762,8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Формирование у населения экологической культуры и знаний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Внедрение мер для увеличения доли электротранспорта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Уменьшение вредных выбросов от транспортного сектора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2934471,3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2934635,5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Альтернативный вид транспорта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438681,8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462326,0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510924,6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Расширение электрозарядной инфраструктуры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Развитие и внедрение современных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Устойчивый туризм</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42498,1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29075,8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-29015,8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-29015,8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Проведение институциональной реформы, установление единой политики и устойчивое управление в сфере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Разработка и улучшение нормативной правовой базы для устойчивого развития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Разработка и запуск стандартов и требований, обеспечивающих переход к устойчивому развитию</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Финансирование туристской сферы для перехода к устойчивому развитию</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 Образование и осведомленность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 Привлечение зеленых инвестиций и улучшение инфраструктуры для развития устойчивого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 Развитие устойчивого путешествия и мобильность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Управление отходами</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4171123,3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4165455,3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4159543,0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-11580,3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4176706,3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4170585,3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4159996,0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-16710,3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Повышение эффективности системы сбора и переработки отходов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Модернизация инфраструктуры полигонов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4161918,3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4159350,3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4156443,0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4160378,3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4157810,3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4156443,0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Минимизация и предотвращение образования отходов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Устойчивое финансирование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Зеленая Таксономия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Управление экологическими и социальными рисками (ESRM)</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Раскрытие ESG-информации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Рыночные стандарты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 Зеленые облигации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 Наращивание потенциала и уровня информированности о принципах устойчивого финансирования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Фискальное стимулирование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 Развитие фискальных мер с проведением анализа эффективности уже реализованных налоговых льгот и разработка дополнительных подзаконных актов, которые будут способствовать дальнейшему стимулированию использования экологически чистых технологий и практик среди предприятий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 Сокращение субсидий для грязных технологий и разработка механизма сохранения льготных тарифов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Устойчивые государственные закупки</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Совершенствование системы государственных закупок</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Модернизация портала государственных закупок</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Повышение потенциала поставщиков и закупающих организаций для перехода к устойчивым государственным закупкам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Управление реализацией и мониторинг Программы</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Внедрение, актуализация и отслеживание национальных и секторальных индикаторов зеленой экономики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Обеспечение систематической, консолидированной, индикаторно-ориентированной и открытой отчетности по итогам мониторинга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Проведение внешних независимых базовой и итоговой оценок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Укрепление межведомственного и внутриведомственного взаимодействия в рамках реализации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k75cmy-y7ujill5birl">
      <w:r>
        <w:rPr>
          <w:rFonts w:ascii="Arial" w:cs="Arial" w:eastAsia="Arial" w:hAnsi="Arial"/>
          <w:color w:val="132D3F"/>
          <w:sz w:val="16"/>
          <w:szCs w:val="16"/>
          <w:u w:val="single"/>
        </w:rPr>
        <w:t xml:space="preserve">dalil.kg/document/230030715</w:t>
      </w:r>
    </w:hyperlink>
  </w:p>
  <w:p>
    <w:pPr>
      <w:spacing w:after="0" w:before="40"/>
      <w:jc w:val="center"/>
    </w:pPr>
    <w:hyperlink w:history="1" r:id="rIddjuw8uy7chyxjdc5brx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4e4v2bb1bouodfa5txar" Type="http://schemas.openxmlformats.org/officeDocument/2006/relationships/hyperlink" Target="https://dalil.kg/document/112301#st_13" TargetMode="External"/><Relationship Id="rIddumpgsvnkh6odp4-2vdbz" Type="http://schemas.openxmlformats.org/officeDocument/2006/relationships/hyperlink" Target="https://dalil.kg/document/112301#st_17" TargetMode="External"/><Relationship Id="rIdfpdczm70fgn63hag_xnqq" Type="http://schemas.openxmlformats.org/officeDocument/2006/relationships/hyperlink" Target="https://dalil.kg/document/230034184" TargetMode="External"/><Relationship Id="rIdfuaemlftenpm4w-6pspaw" Type="http://schemas.openxmlformats.org/officeDocument/2006/relationships/hyperlink" Target="https://dalil.kg/document/230030715#pr2" TargetMode="External"/><Relationship Id="rId5is6bqcatjyrehovsprdb" Type="http://schemas.openxmlformats.org/officeDocument/2006/relationships/hyperlink" Target="https://dalil.kg/document/230030715#pr3" TargetMode="External"/><Relationship Id="rIdwviexloepgmt-4zpujgyy" Type="http://schemas.openxmlformats.org/officeDocument/2006/relationships/hyperlink" Target="https://dalil.kg/document/230030715#pr4" TargetMode="External"/><Relationship Id="rId2sntsc-shmrbw-0gtwwc4" Type="http://schemas.openxmlformats.org/officeDocument/2006/relationships/hyperlink" Target="https://dalil.kg/document/453437" TargetMode="External"/><Relationship Id="rIduqww2op2bf7ycvfgkspfy" Type="http://schemas.openxmlformats.org/officeDocument/2006/relationships/hyperlink" Target="https://dalil.kg/document/159310" TargetMode="External"/><Relationship Id="rIdkwqeuzyztkuveg3zxmj97" Type="http://schemas.openxmlformats.org/officeDocument/2006/relationships/hyperlink" Target="https://dalil.kg/document/453437" TargetMode="External"/><Relationship Id="rIdlyvb-ipdzblomtaepdayc" Type="http://schemas.openxmlformats.org/officeDocument/2006/relationships/hyperlink" Target="https://dalil.kg/document/663" TargetMode="External"/><Relationship Id="rId753x5bfyih0idzp7ivtkh" Type="http://schemas.openxmlformats.org/officeDocument/2006/relationships/hyperlink" Target="https://dalil.kg/document/112382" TargetMode="External"/><Relationship Id="rIdavvitudbwuuavp4hkio6i" Type="http://schemas.openxmlformats.org/officeDocument/2006/relationships/hyperlink" Target="https://dalil.kg/document/157147" TargetMode="External"/><Relationship Id="rIdg9uumsridnkcbzpik5k0j" Type="http://schemas.openxmlformats.org/officeDocument/2006/relationships/hyperlink" Target="https://dalil.kg/document/157146" TargetMode="External"/><Relationship Id="rId9x6xyz6dhlcuycbnwp835" Type="http://schemas.openxmlformats.org/officeDocument/2006/relationships/hyperlink" Target="https://dalil.kg/document/159589" TargetMode="External"/><Relationship Id="rIdr-us4sybrjcipkzx0mdvf" Type="http://schemas.openxmlformats.org/officeDocument/2006/relationships/hyperlink" Target="https://dalil.kg/document/159588" TargetMode="External"/><Relationship Id="rId8ng0pepl_einejgef65fa" Type="http://schemas.openxmlformats.org/officeDocument/2006/relationships/hyperlink" Target="https://dalil.kg/document/112382" TargetMode="External"/><Relationship Id="rIdlgk296khhvngbwtl4evba" Type="http://schemas.openxmlformats.org/officeDocument/2006/relationships/hyperlink" Target="https://dalil.kg/document/96" TargetMode="External"/><Relationship Id="rIdfcru0ld1u6pku0dhbv0pv" Type="http://schemas.openxmlformats.org/officeDocument/2006/relationships/hyperlink" Target="https://dalil.kg/document/112382" TargetMode="External"/><Relationship Id="rId4hdafk9ib1pj0yqfdbcy0" Type="http://schemas.openxmlformats.org/officeDocument/2006/relationships/hyperlink" Target="https://dalil.kg/document/508" TargetMode="External"/><Relationship Id="rIdyl8ems1dskddbr0lxxrfj" Type="http://schemas.openxmlformats.org/officeDocument/2006/relationships/hyperlink" Target="https://dalil.kg/document/112382" TargetMode="External"/><Relationship Id="rIdih2njtxia-naj1ox_nxnn" Type="http://schemas.openxmlformats.org/officeDocument/2006/relationships/hyperlink" Target="https://dalil.kg/document/508" TargetMode="External"/><Relationship Id="rIdella5gyjrc3npktyelmyv" Type="http://schemas.openxmlformats.org/officeDocument/2006/relationships/hyperlink" Target="https://dalil.kg/document/112382" TargetMode="External"/><Relationship Id="rIdpu2lnqx2htbzo1okdlld9" Type="http://schemas.openxmlformats.org/officeDocument/2006/relationships/hyperlink" Target="https://dalil.kg/document/112382" TargetMode="External"/><Relationship Id="rIdwt2gjw4mshiq6-neq_c4f" Type="http://schemas.openxmlformats.org/officeDocument/2006/relationships/hyperlink" Target="https://dalil.kg/document/159589" TargetMode="External"/><Relationship Id="rIdiwogt1dem_jjl1n9fvyky" Type="http://schemas.openxmlformats.org/officeDocument/2006/relationships/hyperlink" Target="https://dalil.kg/document/159588" TargetMode="External"/><Relationship Id="rIdxdlsdgsgy2_41obbmxxwp" Type="http://schemas.openxmlformats.org/officeDocument/2006/relationships/hyperlink" Target="https://dalil.kg/document/112382" TargetMode="External"/><Relationship Id="rIdg6a7q82brdgeh7oj1mhkz" Type="http://schemas.openxmlformats.org/officeDocument/2006/relationships/hyperlink" Target="https://dalil.kg/document/112382#st_12" TargetMode="External"/><Relationship Id="rIdnrt4nctluxpp6tyz6zsef" Type="http://schemas.openxmlformats.org/officeDocument/2006/relationships/hyperlink" Target="https://dalil.kg/document/93706" TargetMode="External"/><Relationship Id="rIdijd2hedwc4oxutm6hqnpn" Type="http://schemas.openxmlformats.org/officeDocument/2006/relationships/hyperlink" Target="https://dalil.kg/document/93633" TargetMode="External"/><Relationship Id="rIdotantg1bbzzkq5gipaf0q" Type="http://schemas.openxmlformats.org/officeDocument/2006/relationships/hyperlink" Target="https://dalil.kg/document/230008396" TargetMode="External"/><Relationship Id="rId1g5ait494kdnvkancpzrf" Type="http://schemas.openxmlformats.org/officeDocument/2006/relationships/hyperlink" Target="https://dalil.kg/document/230008396" TargetMode="External"/><Relationship Id="rIdgrkvo-mociqslg_cmu0n4" Type="http://schemas.openxmlformats.org/officeDocument/2006/relationships/hyperlink" Target="https://dalil.kg/document/203377" TargetMode="External"/><Relationship Id="rId-io3psznob0wwe2q8pe9p" Type="http://schemas.openxmlformats.org/officeDocument/2006/relationships/hyperlink" Target="https://dalil.kg/document/203377" TargetMode="External"/><Relationship Id="rIddqfigdntvstcjqzkkzsvp" Type="http://schemas.openxmlformats.org/officeDocument/2006/relationships/hyperlink" Target="https://dalil.kg/document/111782" TargetMode="External"/><Relationship Id="rIdhtph_fwgeadyfju8pxjc1" Type="http://schemas.openxmlformats.org/officeDocument/2006/relationships/hyperlink" Target="https://dalil.kg/document/111782" TargetMode="External"/><Relationship Id="rIde_txkwjm6s93f_wqgogmj" Type="http://schemas.openxmlformats.org/officeDocument/2006/relationships/hyperlink" Target="https://dalil.kg/document/112340#st_284" TargetMode="External"/><Relationship Id="rIdlmjpqd6obznupzz60xusr" Type="http://schemas.openxmlformats.org/officeDocument/2006/relationships/hyperlink" Target="https://dalil.kg/document/112340#st_297" TargetMode="External"/><Relationship Id="rId40gtgfey-w2ayy5ztxsyt" Type="http://schemas.openxmlformats.org/officeDocument/2006/relationships/hyperlink" Target="https://dalil.kg/document/112618" TargetMode="External"/><Relationship Id="rIdnj1trsdpq2rrrhftn_k34" Type="http://schemas.openxmlformats.org/officeDocument/2006/relationships/hyperlink" Target="https://dalil.kg/document/98276" TargetMode="External"/><Relationship Id="rIdbms7ypboa4ryy67ghb2u6" Type="http://schemas.openxmlformats.org/officeDocument/2006/relationships/hyperlink" Target="https://dalil.kg/document/98275" TargetMode="External"/><Relationship Id="rIdtakz_tptx9fg7skyrfh6c" Type="http://schemas.openxmlformats.org/officeDocument/2006/relationships/hyperlink" Target="https://dalil.kg/document/98276" TargetMode="External"/><Relationship Id="rIdiqqbvo-gezy3orxou-wsz" Type="http://schemas.openxmlformats.org/officeDocument/2006/relationships/hyperlink" Target="https://dalil.kg/document/98205" TargetMode="External"/><Relationship Id="rId4c8-cysi0hbwnetwlgidg" Type="http://schemas.openxmlformats.org/officeDocument/2006/relationships/hyperlink" Target="https://dalil.kg/document/98204" TargetMode="External"/><Relationship Id="rIdwifdwirqd8rx_fs7m0j9u" Type="http://schemas.openxmlformats.org/officeDocument/2006/relationships/hyperlink" Target="https://dalil.kg/document/98205" TargetMode="External"/><Relationship Id="rIdvi8hgdfliew0lrqlqtgb2" Type="http://schemas.openxmlformats.org/officeDocument/2006/relationships/hyperlink" Target="https://dalil.kg/document/10024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k75cmy-y7ujill5birl" Type="http://schemas.openxmlformats.org/officeDocument/2006/relationships/hyperlink" Target="https://dalil.kg/document/230030715" TargetMode="External"/><Relationship Id="rIddjuw8uy7chyxjdc5brx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2026-09-23T22:50:12.081Z</dcterms:created>
  <dcterms:modified xsi:type="dcterms:W3CDTF">2026-09-23T22:50:12.081Z</dcterms:modified>
</cp:coreProperties>
</file>

<file path=docProps/custom.xml><?xml version="1.0" encoding="utf-8"?>
<Properties xmlns="http://schemas.openxmlformats.org/officeDocument/2006/custom-properties" xmlns:vt="http://schemas.openxmlformats.org/officeDocument/2006/docPropsVTypes"/>
</file>