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архитектурно-строительного контроля и 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прозрачной и подотчетной системы, минимизирующей риски коррупции при осуществлении контроля и надзора за строительной деятельностью, в соответствии со статьями </w:t>
      </w:r>
      <w:hyperlink w:history="1" r:id="rIdmqfjrc9a39-aweo6pm-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xvyf5cvvh2z6dzne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0m4fw5d2t8y6r-ot4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gr6qah39jj4v3trxrz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 </w:t>
        </w:r>
      </w:hyperlink>
      <w:r>
        <w:rPr>
          <w:rFonts w:ascii="Arial" w:cs="Arial" w:eastAsia="Arial" w:hAnsi="Arial"/>
          <w:sz w:val="24"/>
          <w:szCs w:val="24"/>
        </w:rPr>
        <w:t xml:space="preserve">разрешительных документов, выдаваемых органами исполнительной власти и их структурными подразделениями,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"Государственное агентство по архитектуре и строительству при Правительстве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специалиста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объектов капитального строительства, реконструкции, перепрофилирования и перепланировки зданий в Реестр строящихся объектов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подтверждения об окончании строительно-монтажных работ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dxmcixi4wzdbcvicp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mr8mh3zvtzeftdj0ob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6tm6axsy39mglm0oh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jcyccamq67uavpapyvw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абзацами вторым,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объектов капитального строительства, реконструкции, перепрофилирования и перепланировки зданий в Реестр строящихся объектов осуществляется на платной основе, за исключением объектов, финансируемых за счет средств республиканского и местного бюджетов. Размер и порядок уплаты устанавливаются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вправе в целях повышения эффективности реализации задач государственного архитектурно-строительного надзора привлекать на договорной основе квалифицированных специалистов, в том числе из числа независимых экспертов, с оплатой их услуг за счет средств специального счета.";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Субъекты строительства производят оплату за внесение объекта в Реестр строящихся объектов до подачи заявления в уполномоченный государственный орган по надзору и контролю в сфере архитектурно-строительной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переходного периода, установленного сроком на три месяца со дня вступления в силу настоящего постановления, финансирование деятельности Департамента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Республики, включая его территориальные управления, осуществляется Министерством финансов Кыргызской Республики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средств и штатной численности, предусмотренных в республиканском бюджете Министерству строительства, архитектуры и жилищно-коммунального хозяйства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fjrc9a39-aweo6pm-xo" Type="http://schemas.openxmlformats.org/officeDocument/2006/relationships/hyperlink" Target="http://kodeks.duckdns.org/document/112301" TargetMode="External"/><Relationship Id="rIdwaxvyf5cvvh2z6dznevga" Type="http://schemas.openxmlformats.org/officeDocument/2006/relationships/hyperlink" Target="http://kodeks.duckdns.org/document/112301" TargetMode="External"/><Relationship Id="rIdu0m4fw5d2t8y6r-ot4iix" Type="http://schemas.openxmlformats.org/officeDocument/2006/relationships/hyperlink" Target="http://kodeks.duckdns.org/document/55105" TargetMode="External"/><Relationship Id="rIdogr6qah39jj4v3trxrz15" Type="http://schemas.openxmlformats.org/officeDocument/2006/relationships/hyperlink" Target="http://kodeks.duckdns.org/document/55105" TargetMode="External"/><Relationship Id="rIdudxmcixi4wzdbcvicphki" Type="http://schemas.openxmlformats.org/officeDocument/2006/relationships/hyperlink" Target="http://kodeks.duckdns.org/document/70048" TargetMode="External"/><Relationship Id="rIdmr8mh3zvtzeftdj0obzdr" Type="http://schemas.openxmlformats.org/officeDocument/2006/relationships/hyperlink" Target="http://kodeks.duckdns.org/document/90219" TargetMode="External"/><Relationship Id="rId_6tm6axsy39mglm0ohva4" Type="http://schemas.openxmlformats.org/officeDocument/2006/relationships/hyperlink" Target="http://kodeks.duckdns.org/document/90219" TargetMode="External"/><Relationship Id="rIdjcyccamq67uavpapyvwab" Type="http://schemas.openxmlformats.org/officeDocument/2006/relationships/hyperlink" Target="http://kodeks.duckdns.org/document/700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2026-09-23T10:09:55.649Z</dcterms:created>
  <dcterms:modified xsi:type="dcterms:W3CDTF">2026-09-23T10:09:55.649Z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