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ftpv1hh_dl5atg60x5lq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4 марта 2025 года № 111)</w:t>
      </w:r>
    </w:p>
    <w:p>
      <w:pPr>
        <w:spacing w:after="240" w:before="200"/>
        <w:jc w:val="center"/>
      </w:pPr>
      <w:r>
        <w:rPr>
          <w:rFonts w:ascii="Arial" w:cs="Arial" w:eastAsia="Arial" w:hAnsi="Arial"/>
          <w:b/>
          <w:bCs/>
          <w:sz w:val="32"/>
          <w:szCs w:val="32"/>
        </w:rPr>
        <w:t xml:space="preserve">ЕДИНЫЕ СТАНДАРТЫ
 совершения таможенных операций и проведения таможенного контроля в отношении товаров и транспортных средств таможенными органами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Единые стандарты совершения таможенных операций и проведения таможенного контроля в отношении товаров и транспортных средств таможенными органами (далее - Стандарты) определяют унифицированные действия (меры) таможенных органов, связанные с процессом перемещения товаров и транспортных средств через таможенную границу Евразийского экономического союза в Кыргызской Республике (далее - таможенная граница), а также конкретные показатели, характеризующие достижение и исполнение стандартов.</w:t>
      </w:r>
    </w:p>
    <w:p>
      <w:pPr>
        <w:spacing w:after="120"/>
        <w:ind w:firstLine="567"/>
        <w:jc w:val="both"/>
      </w:pPr>
      <w:r>
        <w:rPr>
          <w:rFonts w:ascii="Arial" w:cs="Arial" w:eastAsia="Arial" w:hAnsi="Arial"/>
          <w:sz w:val="24"/>
          <w:szCs w:val="24"/>
        </w:rPr>
        <w:t xml:space="preserve">Прием документов и выдача результатов Стандартов осуществляются таможенными органами через информационную систему таможенного органа.</w:t>
      </w:r>
    </w:p>
    <w:p>
      <w:pPr>
        <w:spacing w:after="120"/>
        <w:ind w:firstLine="567"/>
        <w:jc w:val="both"/>
      </w:pPr>
      <w:r>
        <w:rPr>
          <w:rFonts w:ascii="Arial" w:cs="Arial" w:eastAsia="Arial" w:hAnsi="Arial"/>
          <w:sz w:val="24"/>
          <w:szCs w:val="24"/>
        </w:rPr>
        <w:t xml:space="preserve">2. Под Стандартами понимается четкое и последовательное применение средств и методов (способов) таможенного регулирования, обеспечивающих равные, благоприятные и предсказуемые условия ведения предпринимательской деятельности для участников внешнеэкономической деятельности, при условии соблюдения требований международных договоров и актов, составляющих право Евразийского экономического союза в сфере таможенного регулирования, и законодательства Кыргызской Республики в сфере таможенного дела.</w:t>
      </w:r>
    </w:p>
    <w:p>
      <w:pPr>
        <w:spacing w:after="120"/>
        <w:ind w:firstLine="567"/>
        <w:jc w:val="both"/>
      </w:pPr>
      <w:r>
        <w:rPr>
          <w:rFonts w:ascii="Arial" w:cs="Arial" w:eastAsia="Arial" w:hAnsi="Arial"/>
          <w:sz w:val="24"/>
          <w:szCs w:val="24"/>
        </w:rPr>
        <w:t xml:space="preserve">3. Стандарты, используемые при совершении таможенных операций:</w:t>
      </w:r>
    </w:p>
    <w:p>
      <w:pPr>
        <w:spacing w:after="120"/>
        <w:ind w:firstLine="567"/>
        <w:jc w:val="both"/>
      </w:pPr>
      <w:r>
        <w:rPr>
          <w:rFonts w:ascii="Arial" w:cs="Arial" w:eastAsia="Arial" w:hAnsi="Arial"/>
          <w:sz w:val="24"/>
          <w:szCs w:val="24"/>
        </w:rPr>
        <w:t xml:space="preserve">1) "Совершение таможенных операций в отношении товаров и транспортных средств до прибытия на таможенную территорию Евразийского экономического союза";</w:t>
      </w:r>
    </w:p>
    <w:p>
      <w:pPr>
        <w:spacing w:after="120"/>
        <w:ind w:firstLine="567"/>
        <w:jc w:val="both"/>
      </w:pPr>
      <w:r>
        <w:rPr>
          <w:rFonts w:ascii="Arial" w:cs="Arial" w:eastAsia="Arial" w:hAnsi="Arial"/>
          <w:sz w:val="24"/>
          <w:szCs w:val="24"/>
        </w:rPr>
        <w:t xml:space="preserve">2)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w:t>
      </w:r>
    </w:p>
    <w:p>
      <w:pPr>
        <w:spacing w:after="120"/>
        <w:ind w:firstLine="567"/>
        <w:jc w:val="both"/>
      </w:pPr>
      <w:r>
        <w:rPr>
          <w:rFonts w:ascii="Arial" w:cs="Arial" w:eastAsia="Arial" w:hAnsi="Arial"/>
          <w:sz w:val="24"/>
          <w:szCs w:val="24"/>
        </w:rPr>
        <w:t xml:space="preserve">3) "Совершение таможенных операций, связанных с помещением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4) "Совершение таможенных операций, связанных с помещением товаров под таможенную процедуру экспорта";</w:t>
      </w:r>
    </w:p>
    <w:p>
      <w:pPr>
        <w:spacing w:after="120"/>
        <w:ind w:firstLine="567"/>
        <w:jc w:val="both"/>
      </w:pPr>
      <w:r>
        <w:rPr>
          <w:rFonts w:ascii="Arial" w:cs="Arial" w:eastAsia="Arial" w:hAnsi="Arial"/>
          <w:sz w:val="24"/>
          <w:szCs w:val="24"/>
        </w:rPr>
        <w:t xml:space="preserve">5)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w:t>
      </w:r>
    </w:p>
    <w:p>
      <w:pPr>
        <w:spacing w:after="120"/>
        <w:ind w:firstLine="567"/>
        <w:jc w:val="both"/>
      </w:pPr>
      <w:r>
        <w:rPr>
          <w:rFonts w:ascii="Arial" w:cs="Arial" w:eastAsia="Arial" w:hAnsi="Arial"/>
          <w:sz w:val="24"/>
          <w:szCs w:val="24"/>
        </w:rPr>
        <w:t xml:space="preserve">4. Стандарты применяются в электронной форме в местах прибытия товаров и транспортных средств на таможенную границу, убытия их с таможенной границы, в местах совершения таможенных операций при помещении товаров и транспортных средств под таможенные процедуры выпуска для внутреннего потребления и экспорта.</w:t>
      </w:r>
    </w:p>
    <w:p>
      <w:pPr>
        <w:spacing w:after="120"/>
        <w:ind w:firstLine="567"/>
        <w:jc w:val="both"/>
      </w:pPr>
      <w:r>
        <w:rPr>
          <w:rFonts w:ascii="Arial" w:cs="Arial" w:eastAsia="Arial" w:hAnsi="Arial"/>
          <w:sz w:val="24"/>
          <w:szCs w:val="24"/>
        </w:rPr>
        <w:t xml:space="preserve">5. В целях достижения и исполнения Стандартов уполномоченным органом в сфере таможенного дела устанавливаются показатели, представляющие собой количественно выраженные характеристики, которые используются для оценки степени достижения результатов и эффективности деятельности таможенных органов путем проведения периодичного анализа эффективности совершения таможенных операций с применением автоматизированной системы таможенного органа.</w:t>
      </w:r>
    </w:p>
    <w:p>
      <w:pPr>
        <w:spacing w:after="240" w:before="200"/>
        <w:jc w:val="center"/>
      </w:pPr>
      <w:r>
        <w:rPr>
          <w:rFonts w:ascii="Arial" w:cs="Arial" w:eastAsia="Arial" w:hAnsi="Arial"/>
          <w:b/>
          <w:bCs/>
          <w:sz w:val="32"/>
          <w:szCs w:val="32"/>
        </w:rPr>
        <w:t xml:space="preserve">Глава 2. Стандарт "Совершение таможенных операций в отношении товаров и транспортных средств до прибытия на таможенную территорию Евразийского экономического союза"</w:t>
      </w:r>
    </w:p>
    <w:p>
      <w:pPr>
        <w:spacing w:after="120"/>
        <w:ind w:firstLine="567"/>
        <w:jc w:val="both"/>
      </w:pPr>
      <w:r>
        <w:rPr>
          <w:rFonts w:ascii="Arial" w:cs="Arial" w:eastAsia="Arial" w:hAnsi="Arial"/>
          <w:sz w:val="24"/>
          <w:szCs w:val="24"/>
        </w:rPr>
        <w:t xml:space="preserve">6. Стандарт "Совершение таможенных операций в отношении товаров и транспортных средств до прибытия на таможенную территорию Евразийского экономического союза" (далее - Стандарт 1) разработан в соответствии со статьями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88</w:t>
      </w:r>
      <w:r>
        <w:rPr>
          <w:rFonts w:ascii="Arial" w:cs="Arial" w:eastAsia="Arial" w:hAnsi="Arial"/>
          <w:sz w:val="24"/>
          <w:szCs w:val="24"/>
        </w:rPr>
        <w:t xml:space="preserve"> Таможенного кодекса Евразийского экономического союза, решениями Коллегии Евразийской экономической комиссии "О порядке регистрации предварительной информации о товарах, предполагаемых к ввозу на таможенную территорию Евразийского экономического союза" от 10 апреля 2018 года № 52,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автомобильным транспортом" от 17 апреля 2018 года № 56,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железнодорожным транспортом" от 17 апреля 2018 года № 57, "Об утверждении Порядка представления предварительной информации о товарах, предполагаемых к ввозу на таможенную территорию Евразийского экономического союза воздушным транспортом" от 24 апреля 2018 года № 62, "Об использовании предварительной информации, представленной в виде электронного документа" от 25 декабря 2018 года № 214.</w:t>
      </w:r>
    </w:p>
    <w:p>
      <w:pPr>
        <w:spacing w:after="120"/>
        <w:ind w:firstLine="567"/>
        <w:jc w:val="both"/>
      </w:pPr>
      <w:r>
        <w:rPr>
          <w:rFonts w:ascii="Arial" w:cs="Arial" w:eastAsia="Arial" w:hAnsi="Arial"/>
          <w:sz w:val="24"/>
          <w:szCs w:val="24"/>
        </w:rPr>
        <w:t xml:space="preserve">7. Сроки и результаты исполнения Стандарта 1:</w:t>
      </w:r>
    </w:p>
    <w:p>
      <w:pPr>
        <w:spacing w:after="120"/>
        <w:ind w:firstLine="567"/>
        <w:jc w:val="both"/>
      </w:pPr>
      <w:r>
        <w:rPr>
          <w:rFonts w:ascii="Arial" w:cs="Arial" w:eastAsia="Arial" w:hAnsi="Arial"/>
          <w:sz w:val="24"/>
          <w:szCs w:val="24"/>
        </w:rPr>
        <w:t xml:space="preserve">1) регистрация представленной таможенному органу предварительной информации путем присвоения регистрационного номера - в течение тридцати минут;</w:t>
      </w:r>
    </w:p>
    <w:p>
      <w:pPr>
        <w:spacing w:after="120"/>
        <w:ind w:firstLine="567"/>
        <w:jc w:val="both"/>
      </w:pPr>
      <w:r>
        <w:rPr>
          <w:rFonts w:ascii="Arial" w:cs="Arial" w:eastAsia="Arial" w:hAnsi="Arial"/>
          <w:sz w:val="24"/>
          <w:szCs w:val="24"/>
        </w:rPr>
        <w:t xml:space="preserve">2) отказ в регистрации предварительной информации - в течение пятнадцати минут.</w:t>
      </w:r>
    </w:p>
    <w:p>
      <w:pPr>
        <w:spacing w:after="120"/>
        <w:ind w:firstLine="567"/>
        <w:jc w:val="both"/>
      </w:pPr>
      <w:r>
        <w:rPr>
          <w:rFonts w:ascii="Arial" w:cs="Arial" w:eastAsia="Arial" w:hAnsi="Arial"/>
          <w:sz w:val="24"/>
          <w:szCs w:val="24"/>
        </w:rPr>
        <w:t xml:space="preserve">8. Перечень основных мер, необходимых для исполнения Стандарта 1 и предоставления результатов:</w:t>
      </w:r>
    </w:p>
    <w:p>
      <w:pPr>
        <w:spacing w:after="120"/>
        <w:ind w:firstLine="567"/>
        <w:jc w:val="both"/>
      </w:pPr>
      <w:r>
        <w:rPr>
          <w:rFonts w:ascii="Arial" w:cs="Arial" w:eastAsia="Arial" w:hAnsi="Arial"/>
          <w:sz w:val="24"/>
          <w:szCs w:val="24"/>
        </w:rPr>
        <w:t xml:space="preserve">1) проведение анализа (оценки) представленной предварительной информации в автоматическом режиме в целях:</w:t>
      </w:r>
    </w:p>
    <w:p>
      <w:pPr>
        <w:spacing w:after="120"/>
        <w:ind w:firstLine="567"/>
        <w:jc w:val="both"/>
      </w:pPr>
      <w:r>
        <w:rPr>
          <w:rFonts w:ascii="Arial" w:cs="Arial" w:eastAsia="Arial" w:hAnsi="Arial"/>
          <w:sz w:val="24"/>
          <w:szCs w:val="24"/>
        </w:rPr>
        <w:t xml:space="preserve">- проверки сведений, указанных в пункте 5 настоящего параграфа;</w:t>
      </w:r>
    </w:p>
    <w:p>
      <w:pPr>
        <w:spacing w:after="120"/>
        <w:ind w:firstLine="567"/>
        <w:jc w:val="both"/>
      </w:pPr>
      <w:r>
        <w:rPr>
          <w:rFonts w:ascii="Arial" w:cs="Arial" w:eastAsia="Arial" w:hAnsi="Arial"/>
          <w:sz w:val="24"/>
          <w:szCs w:val="24"/>
        </w:rPr>
        <w:t xml:space="preserve">- выявления товаров, к которым применяются запреты и ограничения при ввозе на таможенную территорию Евразийского экономического союза (далее - таможенная территория ЕАЭС);</w:t>
      </w:r>
    </w:p>
    <w:p>
      <w:pPr>
        <w:spacing w:after="120"/>
        <w:ind w:firstLine="567"/>
        <w:jc w:val="both"/>
      </w:pPr>
      <w:r>
        <w:rPr>
          <w:rFonts w:ascii="Arial" w:cs="Arial" w:eastAsia="Arial" w:hAnsi="Arial"/>
          <w:sz w:val="24"/>
          <w:szCs w:val="24"/>
        </w:rPr>
        <w:t xml:space="preserve">- установления товаров, в отношении которых требуется осуществление иных видов государственного контроля, с последующим направлением предварительной информации в информационные системы государственных контролирующих органов;</w:t>
      </w:r>
    </w:p>
    <w:p>
      <w:pPr>
        <w:spacing w:after="120"/>
        <w:ind w:firstLine="567"/>
        <w:jc w:val="both"/>
      </w:pPr>
      <w:r>
        <w:rPr>
          <w:rFonts w:ascii="Arial" w:cs="Arial" w:eastAsia="Arial" w:hAnsi="Arial"/>
          <w:sz w:val="24"/>
          <w:szCs w:val="24"/>
        </w:rPr>
        <w:t xml:space="preserve">2) в случае выявления несоответствия сведений, содержащихся в предварительной информации, направление электронного сообщения, содержащего перечень выявленных ошибок, для их устранения и повторного направления предварительной информации в автоматическом режиме;</w:t>
      </w:r>
    </w:p>
    <w:p>
      <w:pPr>
        <w:spacing w:after="120"/>
        <w:ind w:firstLine="567"/>
        <w:jc w:val="both"/>
      </w:pPr>
      <w:r>
        <w:rPr>
          <w:rFonts w:ascii="Arial" w:cs="Arial" w:eastAsia="Arial" w:hAnsi="Arial"/>
          <w:sz w:val="24"/>
          <w:szCs w:val="24"/>
        </w:rPr>
        <w:t xml:space="preserve">3) принятие предварительных решений о выборе объектов, форм таможенного контроля и мер, обеспечивающих проведение таможенного контроля до прибытия товаров на таможенную границу с использованием информационных систем, в том числе с применением системы управления рисками в автоматическом режиме;</w:t>
      </w:r>
    </w:p>
    <w:p>
      <w:pPr>
        <w:spacing w:after="120"/>
        <w:ind w:firstLine="567"/>
        <w:jc w:val="both"/>
      </w:pPr>
      <w:r>
        <w:rPr>
          <w:rFonts w:ascii="Arial" w:cs="Arial" w:eastAsia="Arial" w:hAnsi="Arial"/>
          <w:sz w:val="24"/>
          <w:szCs w:val="24"/>
        </w:rPr>
        <w:t xml:space="preserve">4) регистрация предварительной информации посредством информационной системы таможенного органа (в случае отсутствия оснований для отказа в регистрации предварительной информации), путем присвоения ей регистрационного номера в автоматическом режиме;</w:t>
      </w:r>
    </w:p>
    <w:p>
      <w:pPr>
        <w:spacing w:after="120"/>
        <w:ind w:firstLine="567"/>
        <w:jc w:val="both"/>
      </w:pPr>
      <w:r>
        <w:rPr>
          <w:rFonts w:ascii="Arial" w:cs="Arial" w:eastAsia="Arial" w:hAnsi="Arial"/>
          <w:sz w:val="24"/>
          <w:szCs w:val="24"/>
        </w:rPr>
        <w:t xml:space="preserve">5) направление лицу, представившему предварительную информацию, электронного сообщения, содержащего:</w:t>
      </w:r>
    </w:p>
    <w:p>
      <w:pPr>
        <w:spacing w:after="120"/>
        <w:ind w:firstLine="567"/>
        <w:jc w:val="both"/>
      </w:pPr>
      <w:r>
        <w:rPr>
          <w:rFonts w:ascii="Arial" w:cs="Arial" w:eastAsia="Arial" w:hAnsi="Arial"/>
          <w:sz w:val="24"/>
          <w:szCs w:val="24"/>
        </w:rPr>
        <w:t xml:space="preserve">- регистрационный номер предварительной информации, дату и время его присвоения в автоматическом режиме;</w:t>
      </w:r>
    </w:p>
    <w:p>
      <w:pPr>
        <w:spacing w:after="120"/>
        <w:ind w:firstLine="567"/>
        <w:jc w:val="both"/>
      </w:pPr>
      <w:r>
        <w:rPr>
          <w:rFonts w:ascii="Arial" w:cs="Arial" w:eastAsia="Arial" w:hAnsi="Arial"/>
          <w:sz w:val="24"/>
          <w:szCs w:val="24"/>
        </w:rPr>
        <w:t xml:space="preserve">- сведения о результатах рассмотрения предварительной информации, предусмотренные пунктом 8 Порядка использования предварительной информации, представленных в виде электронного документа, утвержденного решением Коллегии Евразийской экономической комиссии от 25 декабря 2018 года № 214, в течение одного часа с момента регистрации предварительной информации.</w:t>
      </w:r>
    </w:p>
    <w:p>
      <w:pPr>
        <w:spacing w:after="120"/>
        <w:ind w:firstLine="567"/>
        <w:jc w:val="both"/>
      </w:pPr>
      <w:r>
        <w:rPr>
          <w:rFonts w:ascii="Arial" w:cs="Arial" w:eastAsia="Arial" w:hAnsi="Arial"/>
          <w:sz w:val="24"/>
          <w:szCs w:val="24"/>
        </w:rPr>
        <w:t xml:space="preserve">9. Отказ в исполнении Стандарта 1 осуществляется информационной системой таможенного органа в автоматическом режиме по следующим основаниям:</w:t>
      </w:r>
    </w:p>
    <w:p>
      <w:pPr>
        <w:spacing w:after="120"/>
        <w:ind w:firstLine="567"/>
        <w:jc w:val="both"/>
      </w:pPr>
      <w:r>
        <w:rPr>
          <w:rFonts w:ascii="Arial" w:cs="Arial" w:eastAsia="Arial" w:hAnsi="Arial"/>
          <w:sz w:val="24"/>
          <w:szCs w:val="24"/>
        </w:rPr>
        <w:t xml:space="preserve">1) несоответствие представленной информации составу, структуре и формату, определенным решениями Коллегии Евразийской экономической комиссии "О структуре и формате предварительной информации о товарах, предполагаемых к ввозу на таможенную территорию Евразийского экономического союза воздушным транспортом" от 28 ноября 2018 года № 192, "О структуре и формате предварительной информации о товарах, предполагаемых к ввозу на таможенную территорию Евразийского экономического союза железнодорожным транспортом" от 28 ноября 2018 года № 193, "О структуре и формате предварительной информации о товарах, предполагаемых к ввозу на таможенную территорию Евразийского экономического союза автомобильным транспортом" от 28 ноября 2018 года № 194;</w:t>
      </w:r>
    </w:p>
    <w:p>
      <w:pPr>
        <w:spacing w:after="120"/>
        <w:ind w:firstLine="567"/>
        <w:jc w:val="both"/>
      </w:pPr>
      <w:r>
        <w:rPr>
          <w:rFonts w:ascii="Arial" w:cs="Arial" w:eastAsia="Arial" w:hAnsi="Arial"/>
          <w:sz w:val="24"/>
          <w:szCs w:val="24"/>
        </w:rPr>
        <w:t xml:space="preserve">2) представление предварительной информации на языке, не являющимся государственным или официальным языками.</w:t>
      </w:r>
    </w:p>
    <w:p>
      <w:pPr>
        <w:spacing w:after="240" w:before="200"/>
        <w:jc w:val="center"/>
      </w:pPr>
      <w:r>
        <w:rPr>
          <w:rFonts w:ascii="Arial" w:cs="Arial" w:eastAsia="Arial" w:hAnsi="Arial"/>
          <w:b/>
          <w:bCs/>
          <w:sz w:val="32"/>
          <w:szCs w:val="32"/>
        </w:rPr>
        <w:t xml:space="preserve">Глава 3. Стандарт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w:t>
      </w:r>
    </w:p>
    <w:p>
      <w:pPr>
        <w:spacing w:after="120"/>
        <w:ind w:firstLine="567"/>
        <w:jc w:val="both"/>
      </w:pPr>
      <w:r>
        <w:rPr>
          <w:rFonts w:ascii="Arial" w:cs="Arial" w:eastAsia="Arial" w:hAnsi="Arial"/>
          <w:sz w:val="24"/>
          <w:szCs w:val="24"/>
        </w:rPr>
        <w:t xml:space="preserve">10. Стандарт "Совершение таможенных операций в отношении товаров и транспортных средств при прибытии на таможенную границу Евразийского экономического союза в Кыргызской Республике через автомобильные пункты пропуска" (далее - Стандарт 2) разработан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89</w:t>
      </w:r>
      <w:r>
        <w:rPr>
          <w:rFonts w:ascii="Arial" w:cs="Arial" w:eastAsia="Arial" w:hAnsi="Arial"/>
          <w:sz w:val="24"/>
          <w:szCs w:val="24"/>
        </w:rPr>
        <w:t xml:space="preserve">, главами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 Таможенного кодекса Евразийского экономического союза, решениями Комиссии Таможенного союза Евразийского экономического сообщества "О формах таможенных документов" от 20 мая 2010 года № 260, "О форме и порядке заполнения транзитной декларации" от 18 июня 2010 года № 289, "О порядке совершения таможенными органами таможенных операций, связанных с подачей, регистрацией транзитной декларации и завершением таможенной процедуры таможенного транзита" от 17 августа 2010 года № 438.</w:t>
      </w:r>
    </w:p>
    <w:p>
      <w:pPr>
        <w:spacing w:after="120"/>
        <w:ind w:firstLine="567"/>
        <w:jc w:val="both"/>
      </w:pPr>
      <w:r>
        <w:rPr>
          <w:rFonts w:ascii="Arial" w:cs="Arial" w:eastAsia="Arial" w:hAnsi="Arial"/>
          <w:sz w:val="24"/>
          <w:szCs w:val="24"/>
        </w:rPr>
        <w:t xml:space="preserve">11. Сроки и результаты исполнения Стандарта 2:</w:t>
      </w:r>
    </w:p>
    <w:p>
      <w:pPr>
        <w:spacing w:after="120"/>
        <w:ind w:firstLine="567"/>
        <w:jc w:val="both"/>
      </w:pPr>
      <w:r>
        <w:rPr>
          <w:rFonts w:ascii="Arial" w:cs="Arial" w:eastAsia="Arial" w:hAnsi="Arial"/>
          <w:sz w:val="24"/>
          <w:szCs w:val="24"/>
        </w:rPr>
        <w:t xml:space="preserve">1) регистрация прибытия товаров и транспортных средств на таможенную территорию ЕАЭС - в течение трех минут на обработку одного поданного предварительного информирования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2) регистрация транзитной декларации - в течение двух часов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3) отказ в регистрации транзитной декларации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4) организация таможенного сопровождения в случае принятия таможенным органом решения о применении таможенного сопровождения - в течение 24 часов с момента принятия такого решения;</w:t>
      </w:r>
    </w:p>
    <w:p>
      <w:pPr>
        <w:spacing w:after="120"/>
        <w:ind w:firstLine="567"/>
        <w:jc w:val="both"/>
      </w:pPr>
      <w:r>
        <w:rPr>
          <w:rFonts w:ascii="Arial" w:cs="Arial" w:eastAsia="Arial" w:hAnsi="Arial"/>
          <w:sz w:val="24"/>
          <w:szCs w:val="24"/>
        </w:rPr>
        <w:t xml:space="preserve">5) помещение товаров и транспортных средств под таможенную процедуру таможенного транзита - в течение двух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6) отказ (запрет) в помещении товаров и транспортных средств под таможенную процедуру таможенного транзита - в течение четырех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12. Результаты исполнения Стандарта 2:</w:t>
      </w:r>
    </w:p>
    <w:p>
      <w:pPr>
        <w:spacing w:after="120"/>
        <w:ind w:firstLine="567"/>
        <w:jc w:val="both"/>
      </w:pPr>
      <w:r>
        <w:rPr>
          <w:rFonts w:ascii="Arial" w:cs="Arial" w:eastAsia="Arial" w:hAnsi="Arial"/>
          <w:sz w:val="24"/>
          <w:szCs w:val="24"/>
        </w:rPr>
        <w:t xml:space="preserve">- регистрация транзитной декларации путем присвоения ей регистрационного номера;</w:t>
      </w:r>
    </w:p>
    <w:p>
      <w:pPr>
        <w:spacing w:after="120"/>
        <w:ind w:firstLine="567"/>
        <w:jc w:val="both"/>
      </w:pPr>
      <w:r>
        <w:rPr>
          <w:rFonts w:ascii="Arial" w:cs="Arial" w:eastAsia="Arial" w:hAnsi="Arial"/>
          <w:sz w:val="24"/>
          <w:szCs w:val="24"/>
        </w:rPr>
        <w:t xml:space="preserve">- отказ в регистрации транзитной декларации;</w:t>
      </w:r>
    </w:p>
    <w:p>
      <w:pPr>
        <w:spacing w:after="120"/>
        <w:ind w:firstLine="567"/>
        <w:jc w:val="both"/>
      </w:pPr>
      <w:r>
        <w:rPr>
          <w:rFonts w:ascii="Arial" w:cs="Arial" w:eastAsia="Arial" w:hAnsi="Arial"/>
          <w:sz w:val="24"/>
          <w:szCs w:val="24"/>
        </w:rPr>
        <w:t xml:space="preserve">- принятие решения о разрешении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принятие решения о запрете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помещение товаров и транспортных средств под таможенную процедуру таможенного транзита разрешено (выпуск товаров);</w:t>
      </w:r>
    </w:p>
    <w:p>
      <w:pPr>
        <w:spacing w:after="120"/>
        <w:ind w:firstLine="567"/>
        <w:jc w:val="both"/>
      </w:pPr>
      <w:r>
        <w:rPr>
          <w:rFonts w:ascii="Arial" w:cs="Arial" w:eastAsia="Arial" w:hAnsi="Arial"/>
          <w:sz w:val="24"/>
          <w:szCs w:val="24"/>
        </w:rPr>
        <w:t xml:space="preserve">- помещение товаров и транспортных средств под таможенную процедуру таможенного транзита запрещено (отказ в выпуске).</w:t>
      </w:r>
    </w:p>
    <w:p>
      <w:pPr>
        <w:spacing w:after="120"/>
        <w:ind w:firstLine="567"/>
        <w:jc w:val="both"/>
      </w:pPr>
      <w:r>
        <w:rPr>
          <w:rFonts w:ascii="Arial" w:cs="Arial" w:eastAsia="Arial" w:hAnsi="Arial"/>
          <w:sz w:val="24"/>
          <w:szCs w:val="24"/>
        </w:rPr>
        <w:t xml:space="preserve">13. Перечень документов и сведений, необходимых для выполнения Стандарта 2:</w:t>
      </w:r>
    </w:p>
    <w:p>
      <w:pPr>
        <w:spacing w:after="120"/>
        <w:ind w:firstLine="567"/>
        <w:jc w:val="both"/>
      </w:pPr>
      <w:r>
        <w:rPr>
          <w:rFonts w:ascii="Arial" w:cs="Arial" w:eastAsia="Arial" w:hAnsi="Arial"/>
          <w:sz w:val="24"/>
          <w:szCs w:val="24"/>
        </w:rPr>
        <w:t xml:space="preserve">1) документы на транспортное средство международной перевозки;</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 перевозке международных почтовых отправлений, определенные актами Всемирного почтового союза;</w:t>
      </w:r>
    </w:p>
    <w:p>
      <w:pPr>
        <w:spacing w:after="120"/>
        <w:ind w:firstLine="567"/>
        <w:jc w:val="both"/>
      </w:pPr>
      <w:r>
        <w:rPr>
          <w:rFonts w:ascii="Arial" w:cs="Arial" w:eastAsia="Arial" w:hAnsi="Arial"/>
          <w:sz w:val="24"/>
          <w:szCs w:val="24"/>
        </w:rPr>
        <w:t xml:space="preserve">4) коммерческие документы на перевозимые товары;</w:t>
      </w:r>
    </w:p>
    <w:p>
      <w:pPr>
        <w:spacing w:after="120"/>
        <w:ind w:firstLine="567"/>
        <w:jc w:val="both"/>
      </w:pPr>
      <w:r>
        <w:rPr>
          <w:rFonts w:ascii="Arial" w:cs="Arial" w:eastAsia="Arial" w:hAnsi="Arial"/>
          <w:sz w:val="24"/>
          <w:szCs w:val="24"/>
        </w:rPr>
        <w:t xml:space="preserve">5) документы и (или) сведения, подтверждающие соблюдение запретов и ограничений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6) транзитная декларация - в отношении прибывших на таможенную территорию ЕАЭС товаров Союза и иностранных товаров, помещенных под таможенную процедуру таможенного транзита для перевозки (транспортировки) через территории государств, не являющихся членами Евразийского экономического союза;</w:t>
      </w:r>
    </w:p>
    <w:p>
      <w:pPr>
        <w:spacing w:after="120"/>
        <w:ind w:firstLine="567"/>
        <w:jc w:val="both"/>
      </w:pPr>
      <w:r>
        <w:rPr>
          <w:rFonts w:ascii="Arial" w:cs="Arial" w:eastAsia="Arial" w:hAnsi="Arial"/>
          <w:sz w:val="24"/>
          <w:szCs w:val="24"/>
        </w:rPr>
        <w:t xml:space="preserve">7) сведения о:</w:t>
      </w:r>
    </w:p>
    <w:p>
      <w:pPr>
        <w:spacing w:after="120"/>
        <w:ind w:firstLine="567"/>
        <w:jc w:val="both"/>
      </w:pPr>
      <w:r>
        <w:rPr>
          <w:rFonts w:ascii="Arial" w:cs="Arial" w:eastAsia="Arial" w:hAnsi="Arial"/>
          <w:sz w:val="24"/>
          <w:szCs w:val="24"/>
        </w:rPr>
        <w:t xml:space="preserve">- государственной регистрации транспортного средства международной перевозки;</w:t>
      </w:r>
    </w:p>
    <w:p>
      <w:pPr>
        <w:spacing w:after="120"/>
        <w:ind w:firstLine="567"/>
        <w:jc w:val="both"/>
      </w:pPr>
      <w:r>
        <w:rPr>
          <w:rFonts w:ascii="Arial" w:cs="Arial" w:eastAsia="Arial" w:hAnsi="Arial"/>
          <w:sz w:val="24"/>
          <w:szCs w:val="24"/>
        </w:rPr>
        <w:t xml:space="preserve">- перевозчике товаров (наименование и адрес);</w:t>
      </w:r>
    </w:p>
    <w:p>
      <w:pPr>
        <w:spacing w:after="120"/>
        <w:ind w:firstLine="567"/>
        <w:jc w:val="both"/>
      </w:pPr>
      <w:r>
        <w:rPr>
          <w:rFonts w:ascii="Arial" w:cs="Arial" w:eastAsia="Arial" w:hAnsi="Arial"/>
          <w:sz w:val="24"/>
          <w:szCs w:val="24"/>
        </w:rPr>
        <w:t xml:space="preserve">- стране отправления и стране назначения товаров (названия);</w:t>
      </w:r>
    </w:p>
    <w:p>
      <w:pPr>
        <w:spacing w:after="120"/>
        <w:ind w:firstLine="567"/>
        <w:jc w:val="both"/>
      </w:pPr>
      <w:r>
        <w:rPr>
          <w:rFonts w:ascii="Arial" w:cs="Arial" w:eastAsia="Arial" w:hAnsi="Arial"/>
          <w:sz w:val="24"/>
          <w:szCs w:val="24"/>
        </w:rPr>
        <w:t xml:space="preserve">- отправителе и получателе товаров (наименования и адреса);</w:t>
      </w:r>
    </w:p>
    <w:p>
      <w:pPr>
        <w:spacing w:after="120"/>
        <w:ind w:firstLine="567"/>
        <w:jc w:val="both"/>
      </w:pPr>
      <w:r>
        <w:rPr>
          <w:rFonts w:ascii="Arial" w:cs="Arial" w:eastAsia="Arial" w:hAnsi="Arial"/>
          <w:sz w:val="24"/>
          <w:szCs w:val="24"/>
        </w:rPr>
        <w:t xml:space="preserve">- продавце и покупателе товаров в соответствии с имеющимися у перевозчика коммерческими документами;</w:t>
      </w:r>
    </w:p>
    <w:p>
      <w:pPr>
        <w:spacing w:after="120"/>
        <w:ind w:firstLine="567"/>
        <w:jc w:val="both"/>
      </w:pPr>
      <w:r>
        <w:rPr>
          <w:rFonts w:ascii="Arial" w:cs="Arial" w:eastAsia="Arial" w:hAnsi="Arial"/>
          <w:sz w:val="24"/>
          <w:szCs w:val="24"/>
        </w:rPr>
        <w:t xml:space="preserve">- количестве грузовых мест, их маркировке и видах упаковок товаров;</w:t>
      </w:r>
    </w:p>
    <w:p>
      <w:pPr>
        <w:spacing w:after="120"/>
        <w:ind w:firstLine="567"/>
        <w:jc w:val="both"/>
      </w:pPr>
      <w:r>
        <w:rPr>
          <w:rFonts w:ascii="Arial" w:cs="Arial" w:eastAsia="Arial" w:hAnsi="Arial"/>
          <w:sz w:val="24"/>
          <w:szCs w:val="24"/>
        </w:rPr>
        <w:t xml:space="preserve">- товарах (наименования и коды товаров в соответствии с Гармонизированной системой описания и кодирования товаров или единой Товарной номенклатурой внешнеэкономической деятельности Евразийского экономического союза (далее - ТН ВЕД ЕАЭС) на уровне не менее 6 первых знаков);</w:t>
      </w:r>
    </w:p>
    <w:p>
      <w:pPr>
        <w:spacing w:after="120"/>
        <w:ind w:firstLine="567"/>
        <w:jc w:val="both"/>
      </w:pPr>
      <w:r>
        <w:rPr>
          <w:rFonts w:ascii="Arial" w:cs="Arial" w:eastAsia="Arial" w:hAnsi="Arial"/>
          <w:sz w:val="24"/>
          <w:szCs w:val="24"/>
        </w:rPr>
        <w:t xml:space="preserve">- весе брутто товаров (в килограммах) либо объеме товаров (в кубических метрах);</w:t>
      </w:r>
    </w:p>
    <w:p>
      <w:pPr>
        <w:spacing w:after="120"/>
        <w:ind w:firstLine="567"/>
        <w:jc w:val="both"/>
      </w:pPr>
      <w:r>
        <w:rPr>
          <w:rFonts w:ascii="Arial" w:cs="Arial" w:eastAsia="Arial" w:hAnsi="Arial"/>
          <w:sz w:val="24"/>
          <w:szCs w:val="24"/>
        </w:rPr>
        <w:t xml:space="preserve">- наличии (отсутствии) товаров, ввоз которых на таможенную территорию ЕАЭС запрещен или ограничен;</w:t>
      </w:r>
    </w:p>
    <w:p>
      <w:pPr>
        <w:spacing w:after="120"/>
        <w:ind w:firstLine="567"/>
        <w:jc w:val="both"/>
      </w:pPr>
      <w:r>
        <w:rPr>
          <w:rFonts w:ascii="Arial" w:cs="Arial" w:eastAsia="Arial" w:hAnsi="Arial"/>
          <w:sz w:val="24"/>
          <w:szCs w:val="24"/>
        </w:rPr>
        <w:t xml:space="preserve">- месте и дате составления международной товарно-транспортной накладной;</w:t>
      </w:r>
    </w:p>
    <w:p>
      <w:pPr>
        <w:spacing w:after="120"/>
        <w:ind w:firstLine="567"/>
        <w:jc w:val="both"/>
      </w:pPr>
      <w:r>
        <w:rPr>
          <w:rFonts w:ascii="Arial" w:cs="Arial" w:eastAsia="Arial" w:hAnsi="Arial"/>
          <w:sz w:val="24"/>
          <w:szCs w:val="24"/>
        </w:rPr>
        <w:t xml:space="preserve">- идентификационных номерах контейнеров;</w:t>
      </w:r>
    </w:p>
    <w:p>
      <w:pPr>
        <w:spacing w:after="120"/>
        <w:ind w:firstLine="567"/>
        <w:jc w:val="both"/>
      </w:pPr>
      <w:r>
        <w:rPr>
          <w:rFonts w:ascii="Arial" w:cs="Arial" w:eastAsia="Arial" w:hAnsi="Arial"/>
          <w:sz w:val="24"/>
          <w:szCs w:val="24"/>
        </w:rPr>
        <w:t xml:space="preserve">- перевозчике, который уведомляет таможенный орган о прибытии товаров на таможенную территорию ЕАЭС (полное или краткое (сокращенное) наименование юридического лица, организации, не являющейся юридическим лицом, либо фамилия, имя, отчество (при наличии) физического лица, адрес);</w:t>
      </w:r>
    </w:p>
    <w:p>
      <w:pPr>
        <w:spacing w:after="120"/>
        <w:ind w:firstLine="567"/>
        <w:jc w:val="both"/>
      </w:pPr>
      <w:r>
        <w:rPr>
          <w:rFonts w:ascii="Arial" w:cs="Arial" w:eastAsia="Arial" w:hAnsi="Arial"/>
          <w:sz w:val="24"/>
          <w:szCs w:val="24"/>
        </w:rPr>
        <w:t xml:space="preserve">- таможенном представителе (номер документа, подтверждающего включение юридического лица в реестр таможенных представителей) либо ином лице, действующем по поручению перевозчика (полное или краткое (сокращенное) наименование юридического лица, организации, не являющейся юридическим лицом, либо фамилия, имя, отчество (при наличии) физического лица, адрес), если такое лицо совершает таможенные операции, связанные с уведомлением таможенного органа о прибытии товаров на таможенную территорию ЕАЭС;</w:t>
      </w:r>
    </w:p>
    <w:p>
      <w:pPr>
        <w:spacing w:after="120"/>
        <w:ind w:firstLine="567"/>
        <w:jc w:val="both"/>
      </w:pPr>
      <w:r>
        <w:rPr>
          <w:rFonts w:ascii="Arial" w:cs="Arial" w:eastAsia="Arial" w:hAnsi="Arial"/>
          <w:sz w:val="24"/>
          <w:szCs w:val="24"/>
        </w:rPr>
        <w:t xml:space="preserve">8) сведения о регистрации предварительной информации с указанием регистрационного номера предварительной информации.</w:t>
      </w:r>
    </w:p>
    <w:p>
      <w:pPr>
        <w:spacing w:after="120"/>
        <w:ind w:firstLine="567"/>
        <w:jc w:val="both"/>
      </w:pPr>
      <w:r>
        <w:rPr>
          <w:rFonts w:ascii="Arial" w:cs="Arial" w:eastAsia="Arial" w:hAnsi="Arial"/>
          <w:sz w:val="24"/>
          <w:szCs w:val="24"/>
        </w:rPr>
        <w:t xml:space="preserve">14. Перечень основных мер, необходимых для выполнения Стандарта 2 и сроки их исполнения:</w:t>
      </w:r>
    </w:p>
    <w:p>
      <w:pPr>
        <w:spacing w:after="120"/>
        <w:ind w:firstLine="567"/>
        <w:jc w:val="both"/>
      </w:pPr>
      <w:r>
        <w:rPr>
          <w:rFonts w:ascii="Arial" w:cs="Arial" w:eastAsia="Arial" w:hAnsi="Arial"/>
          <w:sz w:val="24"/>
          <w:szCs w:val="24"/>
        </w:rPr>
        <w:t xml:space="preserve">1) проверка наличия документов и сверка минимальных сведений, содержащихся в предварительной информации, со сведениями, указанными в транспортных (перевозочных), коммерческих и (или) иных документах - в течение трех минут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2) регистрация прибытия товаров и транспортных средств на таможенную территорию ЕАЭС с использованием предварительной информации с одновременной фиксацией даты и времени уведомления о прибытии товаров на таможенную территорию ЕАЭС - в течение трех минут с момента представления таможенному органу перевозчиком документа, содержащего сведения о номере регистрации предварительной информации;</w:t>
      </w:r>
    </w:p>
    <w:p>
      <w:pPr>
        <w:spacing w:after="120"/>
        <w:ind w:firstLine="567"/>
        <w:jc w:val="both"/>
      </w:pPr>
      <w:r>
        <w:rPr>
          <w:rFonts w:ascii="Arial" w:cs="Arial" w:eastAsia="Arial" w:hAnsi="Arial"/>
          <w:sz w:val="24"/>
          <w:szCs w:val="24"/>
        </w:rPr>
        <w:t xml:space="preserve">3) передача представленных перевозчиком документов органам санитарно-карантинного, фитосанитарного и ветеринарного контроля посредством информационной системы таможенного органа при наличии в предварительной информации решений о проведении соответствующего государственного контроля в автоматическом режиме;</w:t>
      </w:r>
    </w:p>
    <w:p>
      <w:pPr>
        <w:spacing w:after="120"/>
        <w:ind w:firstLine="567"/>
        <w:jc w:val="both"/>
      </w:pPr>
      <w:r>
        <w:rPr>
          <w:rFonts w:ascii="Arial" w:cs="Arial" w:eastAsia="Arial" w:hAnsi="Arial"/>
          <w:sz w:val="24"/>
          <w:szCs w:val="24"/>
        </w:rPr>
        <w:t xml:space="preserve">4) проверка наличия документов и сведений, указанных в пункте 12 настоящего параграфа, и соответствия сведений, указанных в транзитной декларации в электронном виде, сведениям, содержащимся в транспортных (перевозочных), коммерческих и иных документах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5) проверка документов и сведений о наличии товаров, ввоз которых на таможенную территорию ЕАЭС в соответствии с международными договорами и актами, составляющими право Евразийского экономического союза, законодательством Кыргызской Республики, запрещен или ограничен - в течение пяти минут с момента представления перевозчиком документов в автоматическом режиме;</w:t>
      </w:r>
    </w:p>
    <w:p>
      <w:pPr>
        <w:spacing w:after="120"/>
        <w:ind w:firstLine="567"/>
        <w:jc w:val="both"/>
      </w:pPr>
      <w:r>
        <w:rPr>
          <w:rFonts w:ascii="Arial" w:cs="Arial" w:eastAsia="Arial" w:hAnsi="Arial"/>
          <w:sz w:val="24"/>
          <w:szCs w:val="24"/>
        </w:rPr>
        <w:t xml:space="preserve">6) в случае выявления рисков, в том числе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7) прием и регистрация транзитной декларации путем присвоения ей регистрационного номера посредством информационной системы таможенного органа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8) отказ в регистрации транзитной декларации - в течение десяти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9) в случае принятия таможенным органом решения о применении таможенного сопровождения, оформление и передача старшему таможенного наряда документов на сопровождаемые товары и транспортные средства - в течение 24 часов с момента принятия такого решения;</w:t>
      </w:r>
    </w:p>
    <w:p>
      <w:pPr>
        <w:spacing w:after="120"/>
        <w:ind w:firstLine="567"/>
        <w:jc w:val="both"/>
      </w:pPr>
      <w:r>
        <w:rPr>
          <w:rFonts w:ascii="Arial" w:cs="Arial" w:eastAsia="Arial" w:hAnsi="Arial"/>
          <w:sz w:val="24"/>
          <w:szCs w:val="24"/>
        </w:rPr>
        <w:t xml:space="preserve">10) принятие решения о разрешении либо запрете пропуска через таможенную границу товаров и транспортных средств - в течение пятнадцати минут;</w:t>
      </w:r>
    </w:p>
    <w:p>
      <w:pPr>
        <w:spacing w:after="120"/>
        <w:ind w:firstLine="567"/>
        <w:jc w:val="both"/>
      </w:pPr>
      <w:r>
        <w:rPr>
          <w:rFonts w:ascii="Arial" w:cs="Arial" w:eastAsia="Arial" w:hAnsi="Arial"/>
          <w:sz w:val="24"/>
          <w:szCs w:val="24"/>
        </w:rPr>
        <w:t xml:space="preserve">11) контроль прибытия товаров и транспортных средств в таможенный орган назначения - в течение 24 часов с момента подачи перевозчиком транзитной декларации таможенному органу назначения;</w:t>
      </w:r>
    </w:p>
    <w:p>
      <w:pPr>
        <w:spacing w:after="120"/>
        <w:ind w:firstLine="567"/>
        <w:jc w:val="both"/>
      </w:pPr>
      <w:r>
        <w:rPr>
          <w:rFonts w:ascii="Arial" w:cs="Arial" w:eastAsia="Arial" w:hAnsi="Arial"/>
          <w:sz w:val="24"/>
          <w:szCs w:val="24"/>
        </w:rPr>
        <w:t xml:space="preserve">12) контроль помещения товаров и транспортных средств на временное хранение и (или) размещения их в зоне таможенного контроля - в течение трех часов с момента завершения таможенной процедуры таможенного транзита;</w:t>
      </w:r>
    </w:p>
    <w:p>
      <w:pPr>
        <w:spacing w:after="120"/>
        <w:ind w:firstLine="567"/>
        <w:jc w:val="both"/>
      </w:pPr>
      <w:r>
        <w:rPr>
          <w:rFonts w:ascii="Arial" w:cs="Arial" w:eastAsia="Arial" w:hAnsi="Arial"/>
          <w:sz w:val="24"/>
          <w:szCs w:val="24"/>
        </w:rPr>
        <w:t xml:space="preserve">13) принятие решения о выпуске либо об отказе в выпуске товаров и транспортных средств в соответствии с таможенной процедурой таможенного транзита - в течение четырех часов с момента регистрации транзитной декларации.</w:t>
      </w:r>
    </w:p>
    <w:p>
      <w:pPr>
        <w:spacing w:after="120"/>
        <w:ind w:firstLine="567"/>
        <w:jc w:val="both"/>
      </w:pPr>
      <w:r>
        <w:rPr>
          <w:rFonts w:ascii="Arial" w:cs="Arial" w:eastAsia="Arial" w:hAnsi="Arial"/>
          <w:sz w:val="24"/>
          <w:szCs w:val="24"/>
        </w:rPr>
        <w:t xml:space="preserve">15. Основания для отказа в выполнении Стандарта 2:</w:t>
      </w:r>
    </w:p>
    <w:p>
      <w:pPr>
        <w:spacing w:after="120"/>
        <w:ind w:firstLine="567"/>
        <w:jc w:val="both"/>
      </w:pPr>
      <w:r>
        <w:rPr>
          <w:rFonts w:ascii="Arial" w:cs="Arial" w:eastAsia="Arial" w:hAnsi="Arial"/>
          <w:sz w:val="24"/>
          <w:szCs w:val="24"/>
        </w:rPr>
        <w:t xml:space="preserve">1) при регистрации транзитной декларации:</w:t>
      </w:r>
    </w:p>
    <w:p>
      <w:pPr>
        <w:spacing w:after="120"/>
        <w:ind w:firstLine="567"/>
        <w:jc w:val="both"/>
      </w:pPr>
      <w:r>
        <w:rPr>
          <w:rFonts w:ascii="Arial" w:cs="Arial" w:eastAsia="Arial" w:hAnsi="Arial"/>
          <w:sz w:val="24"/>
          <w:szCs w:val="24"/>
        </w:rPr>
        <w:t xml:space="preserve">- транзитная декларация подана таможенному органу, не правомочному регистрировать транзитные декларации;</w:t>
      </w:r>
    </w:p>
    <w:p>
      <w:pPr>
        <w:spacing w:after="120"/>
        <w:ind w:firstLine="567"/>
        <w:jc w:val="both"/>
      </w:pPr>
      <w:r>
        <w:rPr>
          <w:rFonts w:ascii="Arial" w:cs="Arial" w:eastAsia="Arial" w:hAnsi="Arial"/>
          <w:sz w:val="24"/>
          <w:szCs w:val="24"/>
        </w:rPr>
        <w:t xml:space="preserve">- транзитная декларация подана не уполномоченным лицом;</w:t>
      </w:r>
    </w:p>
    <w:p>
      <w:pPr>
        <w:spacing w:after="120"/>
        <w:ind w:firstLine="567"/>
        <w:jc w:val="both"/>
      </w:pPr>
      <w:r>
        <w:rPr>
          <w:rFonts w:ascii="Arial" w:cs="Arial" w:eastAsia="Arial" w:hAnsi="Arial"/>
          <w:sz w:val="24"/>
          <w:szCs w:val="24"/>
        </w:rPr>
        <w:t xml:space="preserve">- в транзитной декларации не указаны необходимые сведения, предусмотренные </w:t>
      </w:r>
      <w:r>
        <w:rPr>
          <w:rFonts w:ascii="Arial" w:cs="Arial" w:eastAsia="Arial" w:hAnsi="Arial"/>
          <w:sz w:val="24"/>
          <w:szCs w:val="24"/>
        </w:rPr>
        <w:t xml:space="preserve">статьей 107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транзитная декларация не подписана либо не удостоверена надлежащим образом или составлена не по установленной форме;</w:t>
      </w:r>
    </w:p>
    <w:p>
      <w:pPr>
        <w:spacing w:after="120"/>
        <w:ind w:firstLine="567"/>
        <w:jc w:val="both"/>
      </w:pPr>
      <w:r>
        <w:rPr>
          <w:rFonts w:ascii="Arial" w:cs="Arial" w:eastAsia="Arial" w:hAnsi="Arial"/>
          <w:sz w:val="24"/>
          <w:szCs w:val="24"/>
        </w:rPr>
        <w:t xml:space="preserve">- в отношении декларируемых товаров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должны совершаться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принятии решения о запрете пропуска через таможенную границу товаров и транспортных средств:</w:t>
      </w:r>
    </w:p>
    <w:p>
      <w:pPr>
        <w:spacing w:after="120"/>
        <w:ind w:firstLine="567"/>
        <w:jc w:val="both"/>
      </w:pPr>
      <w:r>
        <w:rPr>
          <w:rFonts w:ascii="Arial" w:cs="Arial" w:eastAsia="Arial" w:hAnsi="Arial"/>
          <w:sz w:val="24"/>
          <w:szCs w:val="24"/>
        </w:rPr>
        <w:t xml:space="preserve">- наличие товаров, к которым применяются запреты и ограничения при их ввозе на таможенную территорию ЕАЭС;</w:t>
      </w:r>
    </w:p>
    <w:p>
      <w:pPr>
        <w:spacing w:after="120"/>
        <w:ind w:firstLine="567"/>
        <w:jc w:val="both"/>
      </w:pPr>
      <w:r>
        <w:rPr>
          <w:rFonts w:ascii="Arial" w:cs="Arial" w:eastAsia="Arial" w:hAnsi="Arial"/>
          <w:sz w:val="24"/>
          <w:szCs w:val="24"/>
        </w:rPr>
        <w:t xml:space="preserve">- по результатам проведения пограничного, таможенного, санитарно-эпидемиологического, ветеринарного, фитосанитарного контроля, контроля за оборотом наркотических средств и иных видов контроля в соответствии с законодательством Кыргызской Республики в отношении лиц и транспортных средств;</w:t>
      </w:r>
    </w:p>
    <w:p>
      <w:pPr>
        <w:spacing w:after="120"/>
        <w:ind w:firstLine="567"/>
        <w:jc w:val="both"/>
      </w:pPr>
      <w:r>
        <w:rPr>
          <w:rFonts w:ascii="Arial" w:cs="Arial" w:eastAsia="Arial" w:hAnsi="Arial"/>
          <w:sz w:val="24"/>
          <w:szCs w:val="24"/>
        </w:rPr>
        <w:t xml:space="preserve">3) при принятии решения об отказе в выпуске товаров и транспортных средств в соответствии со </w:t>
      </w:r>
      <w:r>
        <w:rPr>
          <w:rFonts w:ascii="Arial" w:cs="Arial" w:eastAsia="Arial" w:hAnsi="Arial"/>
          <w:sz w:val="24"/>
          <w:szCs w:val="24"/>
        </w:rPr>
        <w:t xml:space="preserve">статьей 125</w:t>
      </w:r>
      <w:r>
        <w:rPr>
          <w:rFonts w:ascii="Arial" w:cs="Arial" w:eastAsia="Arial" w:hAnsi="Arial"/>
          <w:sz w:val="24"/>
          <w:szCs w:val="24"/>
        </w:rPr>
        <w:t xml:space="preserve"> Таможенного кодекса Евразийского экономического союза.</w:t>
      </w:r>
    </w:p>
    <w:p>
      <w:pPr>
        <w:spacing w:after="240" w:before="200"/>
        <w:jc w:val="center"/>
      </w:pPr>
      <w:r>
        <w:rPr>
          <w:rFonts w:ascii="Arial" w:cs="Arial" w:eastAsia="Arial" w:hAnsi="Arial"/>
          <w:b/>
          <w:bCs/>
          <w:sz w:val="32"/>
          <w:szCs w:val="32"/>
        </w:rPr>
        <w:t xml:space="preserve">Глава 4. Стандарт "Совершение таможенных операций, связанных с помещением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16. Стандарт "Совершение таможенных операций, связанных с помещением товаров под таможенную процедуру выпуска для внутреннего потребления" (далее - Стандарт 3) разработан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решениями Комиссии Таможенного союза "О форме декларации на товары и порядке ее заполнения" от 20 мая 2010 года № 257, Коллегии Евразийской экономической комиссии "О некоторых вопросах, связанных с выпуском товаров" от 19 декабря 2017 года № 188.</w:t>
      </w:r>
    </w:p>
    <w:p>
      <w:pPr>
        <w:spacing w:after="120"/>
        <w:ind w:firstLine="567"/>
        <w:jc w:val="both"/>
      </w:pPr>
      <w:r>
        <w:rPr>
          <w:rFonts w:ascii="Arial" w:cs="Arial" w:eastAsia="Arial" w:hAnsi="Arial"/>
          <w:sz w:val="24"/>
          <w:szCs w:val="24"/>
        </w:rPr>
        <w:t xml:space="preserve">Под форматным контролем понимается анализ и проверка соответствия декларации на товары структуре и форматам декларации на товары в электронном виде,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w:t>
      </w:r>
    </w:p>
    <w:p>
      <w:pPr>
        <w:spacing w:after="120"/>
        <w:ind w:firstLine="567"/>
        <w:jc w:val="both"/>
      </w:pPr>
      <w:r>
        <w:rPr>
          <w:rFonts w:ascii="Arial" w:cs="Arial" w:eastAsia="Arial" w:hAnsi="Arial"/>
          <w:sz w:val="24"/>
          <w:szCs w:val="24"/>
        </w:rPr>
        <w:t xml:space="preserve">Форматно-логический контроль (далее - ФЛК) - проверка сведений в декларации на товары в электронном виде на соответствие правилам заполнения для заявленной таможенной процедуры, мерам тарифного и нетарифного регулирования, соблюдению запретов и ограничений, а также контролю выполнения условий, установленных международными договорами и актами, составляющими право Евразийского экономического союза и законодательство Кыргызской Республики.</w:t>
      </w:r>
    </w:p>
    <w:p>
      <w:pPr>
        <w:spacing w:after="120"/>
        <w:ind w:firstLine="567"/>
        <w:jc w:val="both"/>
      </w:pPr>
      <w:r>
        <w:rPr>
          <w:rFonts w:ascii="Arial" w:cs="Arial" w:eastAsia="Arial" w:hAnsi="Arial"/>
          <w:sz w:val="24"/>
          <w:szCs w:val="24"/>
        </w:rPr>
        <w:t xml:space="preserve">17. Сроки исполнения Стандарта 3:</w:t>
      </w:r>
    </w:p>
    <w:p>
      <w:pPr>
        <w:spacing w:after="120"/>
        <w:ind w:firstLine="567"/>
        <w:jc w:val="both"/>
      </w:pPr>
      <w:r>
        <w:rPr>
          <w:rFonts w:ascii="Arial" w:cs="Arial" w:eastAsia="Arial" w:hAnsi="Arial"/>
          <w:sz w:val="24"/>
          <w:szCs w:val="24"/>
        </w:rPr>
        <w:t xml:space="preserve">1) регистрация декларации на товары в электронном виде (далее - ЭДТ) - в течение одного часа рабочего времени таможенного органа с момента подачи;</w:t>
      </w:r>
    </w:p>
    <w:p>
      <w:pPr>
        <w:spacing w:after="120"/>
        <w:ind w:firstLine="567"/>
        <w:jc w:val="both"/>
      </w:pPr>
      <w:r>
        <w:rPr>
          <w:rFonts w:ascii="Arial" w:cs="Arial" w:eastAsia="Arial" w:hAnsi="Arial"/>
          <w:sz w:val="24"/>
          <w:szCs w:val="24"/>
        </w:rPr>
        <w:t xml:space="preserve">2) отказ в регистрации ЭДТ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3) выпуск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4) отказ в выпуске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5) выпуск товаров в случае запроса таможенным органом документов, принятие решения о проведении таможенного контроля в иных формах либо о применении мер, обеспечивающих проведение таможенного контроля, обращение декларанта об изменении (дополнении) сведений, заявленных в ЭДТ - в течение одного рабочего дня, следующего за днем регистрации ЭДТ;</w:t>
      </w:r>
    </w:p>
    <w:p>
      <w:pPr>
        <w:spacing w:after="120"/>
        <w:ind w:firstLine="567"/>
        <w:jc w:val="both"/>
      </w:pPr>
      <w:r>
        <w:rPr>
          <w:rFonts w:ascii="Arial" w:cs="Arial" w:eastAsia="Arial" w:hAnsi="Arial"/>
          <w:sz w:val="24"/>
          <w:szCs w:val="24"/>
        </w:rPr>
        <w:t xml:space="preserve">6) выпуск товаров при продлении срока выпуска в случаях, установленных пунктом 4 </w:t>
      </w:r>
      <w:r>
        <w:rPr>
          <w:rFonts w:ascii="Arial" w:cs="Arial" w:eastAsia="Arial" w:hAnsi="Arial"/>
          <w:sz w:val="24"/>
          <w:szCs w:val="24"/>
        </w:rPr>
        <w:t xml:space="preserve">статьи 119</w:t>
      </w:r>
      <w:r>
        <w:rPr>
          <w:rFonts w:ascii="Arial" w:cs="Arial" w:eastAsia="Arial" w:hAnsi="Arial"/>
          <w:sz w:val="24"/>
          <w:szCs w:val="24"/>
        </w:rPr>
        <w:t xml:space="preserve"> Таможенного кодекса Евразийского экономического союза - в течение десяти рабочих дней со дня, следующего за днем регистрации ЭДТ.</w:t>
      </w:r>
    </w:p>
    <w:p>
      <w:pPr>
        <w:spacing w:after="120"/>
        <w:ind w:firstLine="567"/>
        <w:jc w:val="both"/>
      </w:pPr>
      <w:r>
        <w:rPr>
          <w:rFonts w:ascii="Arial" w:cs="Arial" w:eastAsia="Arial" w:hAnsi="Arial"/>
          <w:sz w:val="24"/>
          <w:szCs w:val="24"/>
        </w:rPr>
        <w:t xml:space="preserve">18. Результаты исполнения Стандарта 3:</w:t>
      </w:r>
    </w:p>
    <w:p>
      <w:pPr>
        <w:spacing w:after="120"/>
        <w:ind w:firstLine="567"/>
        <w:jc w:val="both"/>
      </w:pPr>
      <w:r>
        <w:rPr>
          <w:rFonts w:ascii="Arial" w:cs="Arial" w:eastAsia="Arial" w:hAnsi="Arial"/>
          <w:sz w:val="24"/>
          <w:szCs w:val="24"/>
        </w:rPr>
        <w:t xml:space="preserve">- решение о выпуске товаров в соответствии с заявленной таможенной процедурой выпуска для внутреннего потребления;</w:t>
      </w:r>
    </w:p>
    <w:p>
      <w:pPr>
        <w:spacing w:after="120"/>
        <w:ind w:firstLine="567"/>
        <w:jc w:val="both"/>
      </w:pPr>
      <w:r>
        <w:rPr>
          <w:rFonts w:ascii="Arial" w:cs="Arial" w:eastAsia="Arial" w:hAnsi="Arial"/>
          <w:sz w:val="24"/>
          <w:szCs w:val="24"/>
        </w:rPr>
        <w:t xml:space="preserve">- решение об отказе в выпуске товаров в соответствии с заявленной таможенной процедурой выпуска для внутреннего потребления.</w:t>
      </w:r>
    </w:p>
    <w:p>
      <w:pPr>
        <w:spacing w:after="120"/>
        <w:ind w:firstLine="567"/>
        <w:jc w:val="both"/>
      </w:pPr>
      <w:r>
        <w:rPr>
          <w:rFonts w:ascii="Arial" w:cs="Arial" w:eastAsia="Arial" w:hAnsi="Arial"/>
          <w:sz w:val="24"/>
          <w:szCs w:val="24"/>
        </w:rPr>
        <w:t xml:space="preserve">19. Перечень документов, необходимых для выполнения Стандарта 3:</w:t>
      </w:r>
    </w:p>
    <w:p>
      <w:pPr>
        <w:spacing w:after="120"/>
        <w:ind w:firstLine="567"/>
        <w:jc w:val="both"/>
      </w:pPr>
      <w:r>
        <w:rPr>
          <w:rFonts w:ascii="Arial" w:cs="Arial" w:eastAsia="Arial" w:hAnsi="Arial"/>
          <w:sz w:val="24"/>
          <w:szCs w:val="24"/>
        </w:rPr>
        <w:t xml:space="preserve">1) документы, подтверждающие совершение внешнеэкономической сделки с товарами, а в случае отсутствия такой сделки - иные документы, подтверждающие право владения, пользования и (или) распоряжения товарами, а также иные коммерческие документы, имеющиеся в распоряжении декларанта;</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подтверждающие полномочия лица, подающего таможенную декларацию;</w:t>
      </w:r>
    </w:p>
    <w:p>
      <w:pPr>
        <w:spacing w:after="120"/>
        <w:ind w:firstLine="567"/>
        <w:jc w:val="both"/>
      </w:pPr>
      <w:r>
        <w:rPr>
          <w:rFonts w:ascii="Arial" w:cs="Arial" w:eastAsia="Arial" w:hAnsi="Arial"/>
          <w:sz w:val="24"/>
          <w:szCs w:val="24"/>
        </w:rPr>
        <w:t xml:space="preserve">4) документы, подтверждающие соблюдение запретов и ограничений, мер защиты внутреннего рынка;</w:t>
      </w:r>
    </w:p>
    <w:p>
      <w:pPr>
        <w:spacing w:after="120"/>
        <w:ind w:firstLine="567"/>
        <w:jc w:val="both"/>
      </w:pPr>
      <w:r>
        <w:rPr>
          <w:rFonts w:ascii="Arial" w:cs="Arial" w:eastAsia="Arial" w:hAnsi="Arial"/>
          <w:sz w:val="24"/>
          <w:szCs w:val="24"/>
        </w:rPr>
        <w:t xml:space="preserve">5) документы о происхождении товаров;</w:t>
      </w:r>
    </w:p>
    <w:p>
      <w:pPr>
        <w:spacing w:after="120"/>
        <w:ind w:firstLine="567"/>
        <w:jc w:val="both"/>
      </w:pPr>
      <w:r>
        <w:rPr>
          <w:rFonts w:ascii="Arial" w:cs="Arial" w:eastAsia="Arial" w:hAnsi="Arial"/>
          <w:sz w:val="24"/>
          <w:szCs w:val="24"/>
        </w:rPr>
        <w:t xml:space="preserve">6) документы, подтверждающие характеристики товаров, использованные при их классификации в соответствии с ТН ВЭД ЕАЭС, предварительное решение о классификации товаров (при его наличии);</w:t>
      </w:r>
    </w:p>
    <w:p>
      <w:pPr>
        <w:spacing w:after="120"/>
        <w:ind w:firstLine="567"/>
        <w:jc w:val="both"/>
      </w:pPr>
      <w:r>
        <w:rPr>
          <w:rFonts w:ascii="Arial" w:cs="Arial" w:eastAsia="Arial" w:hAnsi="Arial"/>
          <w:sz w:val="24"/>
          <w:szCs w:val="24"/>
        </w:rPr>
        <w:t xml:space="preserve">7) документы, подтверждающие уплату таможенных платежей, специальных, антидемпинговых, компенсационных пошлин и (или) обеспечение исполнения обязанности по уплате таможенных пошлин, налогов, специальных, антидемпинговых, компенсационных пошлин;</w:t>
      </w:r>
    </w:p>
    <w:p>
      <w:pPr>
        <w:spacing w:after="120"/>
        <w:ind w:firstLine="567"/>
        <w:jc w:val="both"/>
      </w:pPr>
      <w:r>
        <w:rPr>
          <w:rFonts w:ascii="Arial" w:cs="Arial" w:eastAsia="Arial" w:hAnsi="Arial"/>
          <w:sz w:val="24"/>
          <w:szCs w:val="24"/>
        </w:rPr>
        <w:t xml:space="preserve">8) документы, подтверждающие соблюдение целей и условий предоставления льгот по уплате таможенных платежей;</w:t>
      </w:r>
    </w:p>
    <w:p>
      <w:pPr>
        <w:spacing w:after="120"/>
        <w:ind w:firstLine="567"/>
        <w:jc w:val="both"/>
      </w:pPr>
      <w:r>
        <w:rPr>
          <w:rFonts w:ascii="Arial" w:cs="Arial" w:eastAsia="Arial" w:hAnsi="Arial"/>
          <w:sz w:val="24"/>
          <w:szCs w:val="24"/>
        </w:rPr>
        <w:t xml:space="preserve">9) документы, подтверждающие изменение срока уплаты таможенных пошлин, налогов;</w:t>
      </w:r>
    </w:p>
    <w:p>
      <w:pPr>
        <w:spacing w:after="120"/>
        <w:ind w:firstLine="567"/>
        <w:jc w:val="both"/>
      </w:pPr>
      <w:r>
        <w:rPr>
          <w:rFonts w:ascii="Arial" w:cs="Arial" w:eastAsia="Arial" w:hAnsi="Arial"/>
          <w:sz w:val="24"/>
          <w:szCs w:val="24"/>
        </w:rPr>
        <w:t xml:space="preserve">10) документы, подтверждающие заявленную таможенную стоимость товаров, в том числе ее величину и метод определения таможенной стоимости товаров.</w:t>
      </w:r>
    </w:p>
    <w:p>
      <w:pPr>
        <w:spacing w:after="120"/>
        <w:ind w:firstLine="567"/>
        <w:jc w:val="both"/>
      </w:pPr>
      <w:r>
        <w:rPr>
          <w:rFonts w:ascii="Arial" w:cs="Arial" w:eastAsia="Arial" w:hAnsi="Arial"/>
          <w:sz w:val="24"/>
          <w:szCs w:val="24"/>
        </w:rPr>
        <w:t xml:space="preserve">20. Перечень основных мер, необходимых для исполнения Стандарта 3:</w:t>
      </w:r>
    </w:p>
    <w:p>
      <w:pPr>
        <w:spacing w:after="120"/>
        <w:ind w:firstLine="567"/>
        <w:jc w:val="both"/>
      </w:pPr>
      <w:r>
        <w:rPr>
          <w:rFonts w:ascii="Arial" w:cs="Arial" w:eastAsia="Arial" w:hAnsi="Arial"/>
          <w:sz w:val="24"/>
          <w:szCs w:val="24"/>
        </w:rPr>
        <w:t xml:space="preserve">1) проверка сроков подачи ЭДТ в автоматическом режиме;</w:t>
      </w:r>
    </w:p>
    <w:p>
      <w:pPr>
        <w:spacing w:after="120"/>
        <w:ind w:firstLine="567"/>
        <w:jc w:val="both"/>
      </w:pPr>
      <w:r>
        <w:rPr>
          <w:rFonts w:ascii="Arial" w:cs="Arial" w:eastAsia="Arial" w:hAnsi="Arial"/>
          <w:sz w:val="24"/>
          <w:szCs w:val="24"/>
        </w:rPr>
        <w:t xml:space="preserve">2) проверка документов, размещенных в информационном разделе "Личный кабинет участника внешнеэкономической деятельности", подтверждающих сведения, заявленные в ЭДТ;</w:t>
      </w:r>
    </w:p>
    <w:p>
      <w:pPr>
        <w:spacing w:after="120"/>
        <w:ind w:firstLine="567"/>
        <w:jc w:val="both"/>
      </w:pPr>
      <w:r>
        <w:rPr>
          <w:rFonts w:ascii="Arial" w:cs="Arial" w:eastAsia="Arial" w:hAnsi="Arial"/>
          <w:sz w:val="24"/>
          <w:szCs w:val="24"/>
        </w:rPr>
        <w:t xml:space="preserve">3) проведение форматного контроля соответствия ЭДТ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 структуре и форматам ЭДТ и проверка подлинности электронной подписи декларанта в автоматическом режиме;</w:t>
      </w:r>
    </w:p>
    <w:p>
      <w:pPr>
        <w:spacing w:after="120"/>
        <w:ind w:firstLine="567"/>
        <w:jc w:val="both"/>
      </w:pPr>
      <w:r>
        <w:rPr>
          <w:rFonts w:ascii="Arial" w:cs="Arial" w:eastAsia="Arial" w:hAnsi="Arial"/>
          <w:sz w:val="24"/>
          <w:szCs w:val="24"/>
        </w:rPr>
        <w:t xml:space="preserve">4) направление декларанту электронного сообщения, содержащего перечень выявленных ошибок при форматном контроле ЭДТ, для их устранения и повторной подачи ЭДТ в течение пятнадцати минут;</w:t>
      </w:r>
    </w:p>
    <w:p>
      <w:pPr>
        <w:spacing w:after="120"/>
        <w:ind w:firstLine="567"/>
        <w:jc w:val="both"/>
      </w:pPr>
      <w:r>
        <w:rPr>
          <w:rFonts w:ascii="Arial" w:cs="Arial" w:eastAsia="Arial" w:hAnsi="Arial"/>
          <w:sz w:val="24"/>
          <w:szCs w:val="24"/>
        </w:rPr>
        <w:t xml:space="preserve">5) проведение ФЛК после успешного прохождения ЭДТ форматного контроля в течение тридцати минут в целях:</w:t>
      </w:r>
    </w:p>
    <w:p>
      <w:pPr>
        <w:spacing w:after="120"/>
        <w:ind w:firstLine="567"/>
        <w:jc w:val="both"/>
      </w:pPr>
      <w:r>
        <w:rPr>
          <w:rFonts w:ascii="Arial" w:cs="Arial" w:eastAsia="Arial" w:hAnsi="Arial"/>
          <w:sz w:val="24"/>
          <w:szCs w:val="24"/>
        </w:rPr>
        <w:t xml:space="preserve">- определения соответствия сведений, заявленных в ЭДТ, сведениям, содержащимся в документах, используемых при таможенном декларировании товаров;</w:t>
      </w:r>
    </w:p>
    <w:p>
      <w:pPr>
        <w:spacing w:after="120"/>
        <w:ind w:firstLine="567"/>
        <w:jc w:val="both"/>
      </w:pPr>
      <w:r>
        <w:rPr>
          <w:rFonts w:ascii="Arial" w:cs="Arial" w:eastAsia="Arial" w:hAnsi="Arial"/>
          <w:sz w:val="24"/>
          <w:szCs w:val="24"/>
        </w:rPr>
        <w:t xml:space="preserve">- соблюдения условий помещения товаров под таможенную процедуру выпуска для внутреннего потребления;</w:t>
      </w:r>
    </w:p>
    <w:p>
      <w:pPr>
        <w:spacing w:after="120"/>
        <w:ind w:firstLine="567"/>
        <w:jc w:val="both"/>
      </w:pPr>
      <w:r>
        <w:rPr>
          <w:rFonts w:ascii="Arial" w:cs="Arial" w:eastAsia="Arial" w:hAnsi="Arial"/>
          <w:sz w:val="24"/>
          <w:szCs w:val="24"/>
        </w:rPr>
        <w:t xml:space="preserve">- определения соответствия классификационному коду товара по ТН ВЭД ЕАЭС;</w:t>
      </w:r>
    </w:p>
    <w:p>
      <w:pPr>
        <w:spacing w:after="120"/>
        <w:ind w:firstLine="567"/>
        <w:jc w:val="both"/>
      </w:pPr>
      <w:r>
        <w:rPr>
          <w:rFonts w:ascii="Arial" w:cs="Arial" w:eastAsia="Arial" w:hAnsi="Arial"/>
          <w:sz w:val="24"/>
          <w:szCs w:val="24"/>
        </w:rPr>
        <w:t xml:space="preserve">- соблюдения запретов и ограничений, мер нетарифного регулирования (проверка лицензий, сертификатов, разрешений и (или) иных документов, подтверждающих соблюдение запретов и ограничений, мер нетарифного регулирования);</w:t>
      </w:r>
    </w:p>
    <w:p>
      <w:pPr>
        <w:spacing w:after="120"/>
        <w:ind w:firstLine="567"/>
        <w:jc w:val="both"/>
      </w:pPr>
      <w:r>
        <w:rPr>
          <w:rFonts w:ascii="Arial" w:cs="Arial" w:eastAsia="Arial" w:hAnsi="Arial"/>
          <w:sz w:val="24"/>
          <w:szCs w:val="24"/>
        </w:rPr>
        <w:t xml:space="preserve">- определения страны происхождения товаров и предоставления тарифных преференций (проверка документа, подтверждающего страну происхождения товара, выданного уполномоченным органом страны отправления товара, оттисков печатей и подписей на документах, подтверждающих происхождение товаров, с образцами оттисков печатей и подписей, доведенных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принятия мер по защите прав на объекты интеллектуальной собственности, включенные в единый таможенный реестр объектов интеллектуальной собственности государств - членов Евразийского экономического союза и (или) национальный таможенный реестр объектов интеллектуальной собственности, который ведется уполномоченным государственным органом в сфере таможенного дела;</w:t>
      </w:r>
    </w:p>
    <w:p>
      <w:pPr>
        <w:spacing w:after="120"/>
        <w:ind w:firstLine="567"/>
        <w:jc w:val="both"/>
      </w:pPr>
      <w:r>
        <w:rPr>
          <w:rFonts w:ascii="Arial" w:cs="Arial" w:eastAsia="Arial" w:hAnsi="Arial"/>
          <w:sz w:val="24"/>
          <w:szCs w:val="24"/>
        </w:rPr>
        <w:t xml:space="preserve">- проведения таможенного контроля заявленной при таможенном декларировании таможенной стоимости товаров (проверка таможенной стоимости, заявленной в ЭДТ, со стоимостью, указанной в коммерческих и иных документах, правильности применения методов определения таможенной стоимости товаров);</w:t>
      </w:r>
    </w:p>
    <w:p>
      <w:pPr>
        <w:spacing w:after="120"/>
        <w:ind w:firstLine="567"/>
        <w:jc w:val="both"/>
      </w:pPr>
      <w:r>
        <w:rPr>
          <w:rFonts w:ascii="Arial" w:cs="Arial" w:eastAsia="Arial" w:hAnsi="Arial"/>
          <w:sz w:val="24"/>
          <w:szCs w:val="24"/>
        </w:rPr>
        <w:t xml:space="preserve">- правильности исчисления, уплаты таможенных платежей (проверка полноты и достоверности заявленных в ЭДТ сведений, влияющих на исчисление таможенных платежей, оснований и условий предоставления, обеспечения, исполнения обязанности по уплате таможенных пошлин, налогов, обоснованности заявленных тарифных, налоговых льгот и преференций, льгот по уплате таможенных сборов за таможенное декларирование товаров, правильности расчетов, подлежащих уплате сумм таможенных платежей, наличия соответствующего решения о предоставлении отсрочки или рассрочки по уплате таможенных пошлин, налогов, поступления сумм таможенных платежей на счета таможенного органа);</w:t>
      </w:r>
    </w:p>
    <w:p>
      <w:pPr>
        <w:spacing w:after="120"/>
        <w:ind w:firstLine="567"/>
        <w:jc w:val="both"/>
      </w:pPr>
      <w:r>
        <w:rPr>
          <w:rFonts w:ascii="Arial" w:cs="Arial" w:eastAsia="Arial" w:hAnsi="Arial"/>
          <w:sz w:val="24"/>
          <w:szCs w:val="24"/>
        </w:rPr>
        <w:t xml:space="preserve">6) проверка признаков наличия оснований для отказа в регистрации ЭДТ;</w:t>
      </w:r>
    </w:p>
    <w:p>
      <w:pPr>
        <w:spacing w:after="120"/>
        <w:ind w:firstLine="567"/>
        <w:jc w:val="both"/>
      </w:pPr>
      <w:r>
        <w:rPr>
          <w:rFonts w:ascii="Arial" w:cs="Arial" w:eastAsia="Arial" w:hAnsi="Arial"/>
          <w:sz w:val="24"/>
          <w:szCs w:val="24"/>
        </w:rPr>
        <w:t xml:space="preserve">7) направление декларанту электронного сообщения, в случае выявления при ФЛК оснований для отказа в регистрации ЭДТ с указанием причин, послуживших основанием для такого отказа в автоматическом режиме;</w:t>
      </w:r>
    </w:p>
    <w:p>
      <w:pPr>
        <w:spacing w:after="120"/>
        <w:ind w:firstLine="567"/>
        <w:jc w:val="both"/>
      </w:pPr>
      <w:r>
        <w:rPr>
          <w:rFonts w:ascii="Arial" w:cs="Arial" w:eastAsia="Arial" w:hAnsi="Arial"/>
          <w:sz w:val="24"/>
          <w:szCs w:val="24"/>
        </w:rPr>
        <w:t xml:space="preserve">8) фиксация даты и времени подачи ЭДТ, с использованием информационной системы таможенного органа в автоматическом режиме;</w:t>
      </w:r>
    </w:p>
    <w:p>
      <w:pPr>
        <w:spacing w:after="120"/>
        <w:ind w:firstLine="567"/>
        <w:jc w:val="both"/>
      </w:pPr>
      <w:r>
        <w:rPr>
          <w:rFonts w:ascii="Arial" w:cs="Arial" w:eastAsia="Arial" w:hAnsi="Arial"/>
          <w:sz w:val="24"/>
          <w:szCs w:val="24"/>
        </w:rPr>
        <w:t xml:space="preserve">9) регистрация ЭДТ путем присвоения регистрационного номера в автоматическом режиме;</w:t>
      </w:r>
    </w:p>
    <w:p>
      <w:pPr>
        <w:spacing w:after="120"/>
        <w:ind w:firstLine="567"/>
        <w:jc w:val="both"/>
      </w:pPr>
      <w:r>
        <w:rPr>
          <w:rFonts w:ascii="Arial" w:cs="Arial" w:eastAsia="Arial" w:hAnsi="Arial"/>
          <w:sz w:val="24"/>
          <w:szCs w:val="24"/>
        </w:rPr>
        <w:t xml:space="preserve">10) сопоставление сведений, заявленных в ЭДТ, со сведениями, содержащимися в системе управления рисками, для определения объектов таможенного контроля и форм таможенного контроля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11) принятие решения о выпуске либо отказе в выпуске товаров в автоматическом режиме.</w:t>
      </w:r>
    </w:p>
    <w:p>
      <w:pPr>
        <w:spacing w:after="120"/>
        <w:ind w:firstLine="567"/>
        <w:jc w:val="both"/>
      </w:pPr>
      <w:r>
        <w:rPr>
          <w:rFonts w:ascii="Arial" w:cs="Arial" w:eastAsia="Arial" w:hAnsi="Arial"/>
          <w:sz w:val="24"/>
          <w:szCs w:val="24"/>
        </w:rPr>
        <w:t xml:space="preserve">21. Основаниями для отказа исполнения Стандарта 3 являются:</w:t>
      </w:r>
    </w:p>
    <w:p>
      <w:pPr>
        <w:spacing w:after="120"/>
        <w:ind w:firstLine="567"/>
        <w:jc w:val="both"/>
      </w:pPr>
      <w:r>
        <w:rPr>
          <w:rFonts w:ascii="Arial" w:cs="Arial" w:eastAsia="Arial" w:hAnsi="Arial"/>
          <w:sz w:val="24"/>
          <w:szCs w:val="24"/>
        </w:rPr>
        <w:t xml:space="preserve">1) при регистрации ЭДТ:</w:t>
      </w:r>
    </w:p>
    <w:p>
      <w:pPr>
        <w:spacing w:after="120"/>
        <w:ind w:firstLine="567"/>
        <w:jc w:val="both"/>
      </w:pPr>
      <w:r>
        <w:rPr>
          <w:rFonts w:ascii="Arial" w:cs="Arial" w:eastAsia="Arial" w:hAnsi="Arial"/>
          <w:sz w:val="24"/>
          <w:szCs w:val="24"/>
        </w:rPr>
        <w:t xml:space="preserve">- ЭДТ подана таможенному органу, неправомочному регистрировать ЭТД;</w:t>
      </w:r>
    </w:p>
    <w:p>
      <w:pPr>
        <w:spacing w:after="120"/>
        <w:ind w:firstLine="567"/>
        <w:jc w:val="both"/>
      </w:pPr>
      <w:r>
        <w:rPr>
          <w:rFonts w:ascii="Arial" w:cs="Arial" w:eastAsia="Arial" w:hAnsi="Arial"/>
          <w:sz w:val="24"/>
          <w:szCs w:val="24"/>
        </w:rPr>
        <w:t xml:space="preserve">- ЭДТ подана неуполномоченным лицом и (или) не подписана либо не удостоверена надлежащим образом;</w:t>
      </w:r>
    </w:p>
    <w:p>
      <w:pPr>
        <w:spacing w:after="120"/>
        <w:ind w:firstLine="567"/>
        <w:jc w:val="both"/>
      </w:pPr>
      <w:r>
        <w:rPr>
          <w:rFonts w:ascii="Arial" w:cs="Arial" w:eastAsia="Arial" w:hAnsi="Arial"/>
          <w:sz w:val="24"/>
          <w:szCs w:val="24"/>
        </w:rPr>
        <w:t xml:space="preserve">- не соблюдена форма таможенного декларирования;</w:t>
      </w:r>
    </w:p>
    <w:p>
      <w:pPr>
        <w:spacing w:after="120"/>
        <w:ind w:firstLine="567"/>
        <w:jc w:val="both"/>
      </w:pPr>
      <w:r>
        <w:rPr>
          <w:rFonts w:ascii="Arial" w:cs="Arial" w:eastAsia="Arial" w:hAnsi="Arial"/>
          <w:sz w:val="24"/>
          <w:szCs w:val="24"/>
        </w:rPr>
        <w:t xml:space="preserve">- в ЭДТ не указаны сведения, подлежащие указанию в соответствии с международными договорами Кыргызской Республики и актами, составляющими право Евразийского экономического союза, и (или) ЭДТ заполнена не в соответствии с установленным порядком ее заполнения;</w:t>
      </w:r>
    </w:p>
    <w:p>
      <w:pPr>
        <w:spacing w:after="120"/>
        <w:ind w:firstLine="567"/>
        <w:jc w:val="both"/>
      </w:pPr>
      <w:r>
        <w:rPr>
          <w:rFonts w:ascii="Arial" w:cs="Arial" w:eastAsia="Arial" w:hAnsi="Arial"/>
          <w:sz w:val="24"/>
          <w:szCs w:val="24"/>
        </w:rPr>
        <w:t xml:space="preserve">- структура и формат электронной таможенной декларации не соответствуют установленным структурам и форматам ЭДТ;</w:t>
      </w:r>
    </w:p>
    <w:p>
      <w:pPr>
        <w:spacing w:after="120"/>
        <w:ind w:firstLine="567"/>
        <w:jc w:val="both"/>
      </w:pPr>
      <w:r>
        <w:rPr>
          <w:rFonts w:ascii="Arial" w:cs="Arial" w:eastAsia="Arial" w:hAnsi="Arial"/>
          <w:sz w:val="24"/>
          <w:szCs w:val="24"/>
        </w:rPr>
        <w:t xml:space="preserve">-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и (или) законодательством Кыргызской Республики в сфере таможенного дела должны совершаться до подачи или одновременно с подачей ЭДТ;</w:t>
      </w:r>
    </w:p>
    <w:p>
      <w:pPr>
        <w:spacing w:after="120"/>
        <w:ind w:firstLine="567"/>
        <w:jc w:val="both"/>
      </w:pPr>
      <w:r>
        <w:rPr>
          <w:rFonts w:ascii="Arial" w:cs="Arial" w:eastAsia="Arial" w:hAnsi="Arial"/>
          <w:sz w:val="24"/>
          <w:szCs w:val="24"/>
        </w:rPr>
        <w:t xml:space="preserve">- не соблюдены особенности таможенного декларирования товаров, установленные законодательством Кыргызской Республики в сфере таможенного дела, которые должны соблюдаться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выпуске товаров:</w:t>
      </w:r>
    </w:p>
    <w:p>
      <w:pPr>
        <w:spacing w:after="120"/>
        <w:ind w:firstLine="567"/>
        <w:jc w:val="both"/>
      </w:pPr>
      <w:r>
        <w:rPr>
          <w:rFonts w:ascii="Arial" w:cs="Arial" w:eastAsia="Arial" w:hAnsi="Arial"/>
          <w:sz w:val="24"/>
          <w:szCs w:val="24"/>
        </w:rPr>
        <w:t xml:space="preserve">- не соблюдены условия, при которых таможенный орган производит выпуск товаров;</w:t>
      </w:r>
    </w:p>
    <w:p>
      <w:pPr>
        <w:spacing w:after="120"/>
        <w:ind w:firstLine="567"/>
        <w:jc w:val="both"/>
      </w:pPr>
      <w:r>
        <w:rPr>
          <w:rFonts w:ascii="Arial" w:cs="Arial" w:eastAsia="Arial" w:hAnsi="Arial"/>
          <w:sz w:val="24"/>
          <w:szCs w:val="24"/>
        </w:rPr>
        <w:t xml:space="preserve">- не выполнены требования таможенного органа о представлении декларантом документов, в случаях, предусмотренных пунктами 2 и 7 </w:t>
      </w:r>
      <w:r>
        <w:rPr>
          <w:rFonts w:ascii="Arial" w:cs="Arial" w:eastAsia="Arial" w:hAnsi="Arial"/>
          <w:sz w:val="24"/>
          <w:szCs w:val="24"/>
        </w:rPr>
        <w:t xml:space="preserve">статьи 325</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не реализованы требования таможенного органа об изменении (дополнении) сведений, заявленных в ЭДТ, в случае, предусмотренном пунктом 2 </w:t>
      </w:r>
      <w:r>
        <w:rPr>
          <w:rFonts w:ascii="Arial" w:cs="Arial" w:eastAsia="Arial" w:hAnsi="Arial"/>
          <w:sz w:val="24"/>
          <w:szCs w:val="24"/>
        </w:rPr>
        <w:t xml:space="preserve">статьи 112</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в случае выявления административного правонарушения или преступления при условии, что такие товары не изъяты или на них не наложен арест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5. Стандарт "Совершение таможенных операций, связанных с помещением товаров под таможенную процедуру экспорта"</w:t>
      </w:r>
    </w:p>
    <w:p>
      <w:pPr>
        <w:spacing w:after="120"/>
        <w:ind w:firstLine="567"/>
        <w:jc w:val="both"/>
      </w:pPr>
      <w:r>
        <w:rPr>
          <w:rFonts w:ascii="Arial" w:cs="Arial" w:eastAsia="Arial" w:hAnsi="Arial"/>
          <w:sz w:val="24"/>
          <w:szCs w:val="24"/>
        </w:rPr>
        <w:t xml:space="preserve">22. Стандарт "Совершение таможенных операций, связанных с помещением товаров под таможенную процедуру экспорта" (далее - Стандарт 4) разработан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решением Комиссии Таможенного союза "О форме декларации на товары и порядке ее заполнения" от 20 мая 2010 года № 257, решением Коллегии Евразийской экономической комиссии "О некоторых вопросах, связанных с выпуском товаров" от 19 декабря 2017 года № 188.</w:t>
      </w:r>
    </w:p>
    <w:p>
      <w:pPr>
        <w:spacing w:after="120"/>
        <w:ind w:firstLine="567"/>
        <w:jc w:val="both"/>
      </w:pPr>
      <w:r>
        <w:rPr>
          <w:rFonts w:ascii="Arial" w:cs="Arial" w:eastAsia="Arial" w:hAnsi="Arial"/>
          <w:sz w:val="24"/>
          <w:szCs w:val="24"/>
        </w:rPr>
        <w:t xml:space="preserve">23. Сроки исполнения Стандарта 4:</w:t>
      </w:r>
    </w:p>
    <w:p>
      <w:pPr>
        <w:spacing w:after="120"/>
        <w:ind w:firstLine="567"/>
        <w:jc w:val="both"/>
      </w:pPr>
      <w:r>
        <w:rPr>
          <w:rFonts w:ascii="Arial" w:cs="Arial" w:eastAsia="Arial" w:hAnsi="Arial"/>
          <w:sz w:val="24"/>
          <w:szCs w:val="24"/>
        </w:rPr>
        <w:t xml:space="preserve">1) регистрация декларации на товары в электронном виде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2) отказ в регистрации ЭДТ - в течение одного часа рабочего времени таможенного органа с момента подачи ЭДТ;</w:t>
      </w:r>
    </w:p>
    <w:p>
      <w:pPr>
        <w:spacing w:after="120"/>
        <w:ind w:firstLine="567"/>
        <w:jc w:val="both"/>
      </w:pPr>
      <w:r>
        <w:rPr>
          <w:rFonts w:ascii="Arial" w:cs="Arial" w:eastAsia="Arial" w:hAnsi="Arial"/>
          <w:sz w:val="24"/>
          <w:szCs w:val="24"/>
        </w:rPr>
        <w:t xml:space="preserve">3) выпуск товаров - в течение четырех часов с момента регистрации ЭДТ;</w:t>
      </w:r>
    </w:p>
    <w:p>
      <w:pPr>
        <w:spacing w:after="120"/>
        <w:ind w:firstLine="567"/>
        <w:jc w:val="both"/>
      </w:pPr>
      <w:r>
        <w:rPr>
          <w:rFonts w:ascii="Arial" w:cs="Arial" w:eastAsia="Arial" w:hAnsi="Arial"/>
          <w:sz w:val="24"/>
          <w:szCs w:val="24"/>
        </w:rPr>
        <w:t xml:space="preserve">4) отказ в выпуске товаров - до истечения четырех часов с момента регистрации ЭДТ;</w:t>
      </w:r>
    </w:p>
    <w:p>
      <w:pPr>
        <w:spacing w:after="120"/>
        <w:ind w:firstLine="567"/>
        <w:jc w:val="both"/>
      </w:pPr>
      <w:r>
        <w:rPr>
          <w:rFonts w:ascii="Arial" w:cs="Arial" w:eastAsia="Arial" w:hAnsi="Arial"/>
          <w:sz w:val="24"/>
          <w:szCs w:val="24"/>
        </w:rPr>
        <w:t xml:space="preserve">5) выпуск товаров в случае запроса таможенным органом документов, принятия решения о проведении таможенного контроля в иных формах либо о применении мер, обеспечивающих проведение таможенного контроля, обращения декларанта об изменении (дополнении) сведений, заявленных в ЭДТ - в течение одного рабочего дня, следующего за днем регистрации ЭДТ.</w:t>
      </w:r>
    </w:p>
    <w:p>
      <w:pPr>
        <w:spacing w:after="120"/>
        <w:ind w:firstLine="567"/>
        <w:jc w:val="both"/>
      </w:pPr>
      <w:r>
        <w:rPr>
          <w:rFonts w:ascii="Arial" w:cs="Arial" w:eastAsia="Arial" w:hAnsi="Arial"/>
          <w:sz w:val="24"/>
          <w:szCs w:val="24"/>
        </w:rPr>
        <w:t xml:space="preserve">24. Результаты исполнения Стандарта 4:</w:t>
      </w:r>
    </w:p>
    <w:p>
      <w:pPr>
        <w:spacing w:after="120"/>
        <w:ind w:firstLine="567"/>
        <w:jc w:val="both"/>
      </w:pPr>
      <w:r>
        <w:rPr>
          <w:rFonts w:ascii="Arial" w:cs="Arial" w:eastAsia="Arial" w:hAnsi="Arial"/>
          <w:sz w:val="24"/>
          <w:szCs w:val="24"/>
        </w:rPr>
        <w:t xml:space="preserve">- решение о выпуске товаров в соответствии с заявленной таможенной процедурой экспорта;</w:t>
      </w:r>
    </w:p>
    <w:p>
      <w:pPr>
        <w:spacing w:after="120"/>
        <w:ind w:firstLine="567"/>
        <w:jc w:val="both"/>
      </w:pPr>
      <w:r>
        <w:rPr>
          <w:rFonts w:ascii="Arial" w:cs="Arial" w:eastAsia="Arial" w:hAnsi="Arial"/>
          <w:sz w:val="24"/>
          <w:szCs w:val="24"/>
        </w:rPr>
        <w:t xml:space="preserve">- решение об отказе в выпуске товаров в соответствии с заявленной таможенной процедурой экспорта.</w:t>
      </w:r>
    </w:p>
    <w:p>
      <w:pPr>
        <w:spacing w:after="120"/>
        <w:ind w:firstLine="567"/>
        <w:jc w:val="both"/>
      </w:pPr>
      <w:r>
        <w:rPr>
          <w:rFonts w:ascii="Arial" w:cs="Arial" w:eastAsia="Arial" w:hAnsi="Arial"/>
          <w:sz w:val="24"/>
          <w:szCs w:val="24"/>
        </w:rPr>
        <w:t xml:space="preserve">25. Перечень документов, необходимых для исполнения Стандарта 4:</w:t>
      </w:r>
    </w:p>
    <w:p>
      <w:pPr>
        <w:spacing w:after="120"/>
        <w:ind w:firstLine="567"/>
        <w:jc w:val="both"/>
      </w:pPr>
      <w:r>
        <w:rPr>
          <w:rFonts w:ascii="Arial" w:cs="Arial" w:eastAsia="Arial" w:hAnsi="Arial"/>
          <w:sz w:val="24"/>
          <w:szCs w:val="24"/>
        </w:rPr>
        <w:t xml:space="preserve">1) документы, подтверждающие совершение внешнеэкономической сделки с товарами, а в случае отсутствия такой сделки - иные документы, подтверждающие право владения, пользования и (или) распоряжения товарами, а также иные коммерческие документы, имеющиеся в распоряжении декларанта;</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подтверждающие полномочия лица, подающего таможенную декларацию;</w:t>
      </w:r>
    </w:p>
    <w:p>
      <w:pPr>
        <w:spacing w:after="120"/>
        <w:ind w:firstLine="567"/>
        <w:jc w:val="both"/>
      </w:pPr>
      <w:r>
        <w:rPr>
          <w:rFonts w:ascii="Arial" w:cs="Arial" w:eastAsia="Arial" w:hAnsi="Arial"/>
          <w:sz w:val="24"/>
          <w:szCs w:val="24"/>
        </w:rPr>
        <w:t xml:space="preserve">4) документы, подтверждающие соблюдение запретов и ограничений;</w:t>
      </w:r>
    </w:p>
    <w:p>
      <w:pPr>
        <w:spacing w:after="120"/>
        <w:ind w:firstLine="567"/>
        <w:jc w:val="both"/>
      </w:pPr>
      <w:r>
        <w:rPr>
          <w:rFonts w:ascii="Arial" w:cs="Arial" w:eastAsia="Arial" w:hAnsi="Arial"/>
          <w:sz w:val="24"/>
          <w:szCs w:val="24"/>
        </w:rPr>
        <w:t xml:space="preserve">5) документы о происхождении товаров;</w:t>
      </w:r>
    </w:p>
    <w:p>
      <w:pPr>
        <w:spacing w:after="120"/>
        <w:ind w:firstLine="567"/>
        <w:jc w:val="both"/>
      </w:pPr>
      <w:r>
        <w:rPr>
          <w:rFonts w:ascii="Arial" w:cs="Arial" w:eastAsia="Arial" w:hAnsi="Arial"/>
          <w:sz w:val="24"/>
          <w:szCs w:val="24"/>
        </w:rPr>
        <w:t xml:space="preserve">6) документы, подтверждающие характеристики товаров, использованные при их классификации в соответствии с ТН ВЭД ЕАЭС, предварительное решение о классификации товаров (при его наличии);</w:t>
      </w:r>
    </w:p>
    <w:p>
      <w:pPr>
        <w:spacing w:after="120"/>
        <w:ind w:firstLine="567"/>
        <w:jc w:val="both"/>
      </w:pPr>
      <w:r>
        <w:rPr>
          <w:rFonts w:ascii="Arial" w:cs="Arial" w:eastAsia="Arial" w:hAnsi="Arial"/>
          <w:sz w:val="24"/>
          <w:szCs w:val="24"/>
        </w:rPr>
        <w:t xml:space="preserve">7) документы, подтверждающие уплату таможенных платежей;</w:t>
      </w:r>
    </w:p>
    <w:p>
      <w:pPr>
        <w:spacing w:after="120"/>
        <w:ind w:firstLine="567"/>
        <w:jc w:val="both"/>
      </w:pPr>
      <w:r>
        <w:rPr>
          <w:rFonts w:ascii="Arial" w:cs="Arial" w:eastAsia="Arial" w:hAnsi="Arial"/>
          <w:sz w:val="24"/>
          <w:szCs w:val="24"/>
        </w:rPr>
        <w:t xml:space="preserve">8) документы, подтверждающие заявленную таможенную стоимость товаров.</w:t>
      </w:r>
    </w:p>
    <w:p>
      <w:pPr>
        <w:spacing w:after="120"/>
        <w:ind w:firstLine="567"/>
        <w:jc w:val="both"/>
      </w:pPr>
      <w:r>
        <w:rPr>
          <w:rFonts w:ascii="Arial" w:cs="Arial" w:eastAsia="Arial" w:hAnsi="Arial"/>
          <w:sz w:val="24"/>
          <w:szCs w:val="24"/>
        </w:rPr>
        <w:t xml:space="preserve">26. Перечень основных мер, необходимых для исполнения Стандарта 4:</w:t>
      </w:r>
    </w:p>
    <w:p>
      <w:pPr>
        <w:spacing w:after="120"/>
        <w:ind w:firstLine="567"/>
        <w:jc w:val="both"/>
      </w:pPr>
      <w:r>
        <w:rPr>
          <w:rFonts w:ascii="Arial" w:cs="Arial" w:eastAsia="Arial" w:hAnsi="Arial"/>
          <w:sz w:val="24"/>
          <w:szCs w:val="24"/>
        </w:rPr>
        <w:t xml:space="preserve">1) проверка сроков подачи ЭДТ в автоматическом режиме;</w:t>
      </w:r>
    </w:p>
    <w:p>
      <w:pPr>
        <w:spacing w:after="120"/>
        <w:ind w:firstLine="567"/>
        <w:jc w:val="both"/>
      </w:pPr>
      <w:r>
        <w:rPr>
          <w:rFonts w:ascii="Arial" w:cs="Arial" w:eastAsia="Arial" w:hAnsi="Arial"/>
          <w:sz w:val="24"/>
          <w:szCs w:val="24"/>
        </w:rPr>
        <w:t xml:space="preserve">2) проверка документов, размещенных в информационном разделе "Личный кабинет участника внешнеэкономической деятельности", подтверждающих сведения, заявленные в ЭДТ;</w:t>
      </w:r>
    </w:p>
    <w:p>
      <w:pPr>
        <w:spacing w:after="120"/>
        <w:ind w:firstLine="567"/>
        <w:jc w:val="both"/>
      </w:pPr>
      <w:r>
        <w:rPr>
          <w:rFonts w:ascii="Arial" w:cs="Arial" w:eastAsia="Arial" w:hAnsi="Arial"/>
          <w:sz w:val="24"/>
          <w:szCs w:val="24"/>
        </w:rPr>
        <w:t xml:space="preserve">3) проведение форматного контроля соответствия ЭДТ установленным решением Коллегии Евразийской экономической комиссии "О структуре и формате декларации на товары и транзитной декларации" от 16 января 2018 года № 2 структуре и форматам ЭДТ и проверка подлинности электронной подписи декларанта в автоматическом режиме;</w:t>
      </w:r>
    </w:p>
    <w:p>
      <w:pPr>
        <w:spacing w:after="120"/>
        <w:ind w:firstLine="567"/>
        <w:jc w:val="both"/>
      </w:pPr>
      <w:r>
        <w:rPr>
          <w:rFonts w:ascii="Arial" w:cs="Arial" w:eastAsia="Arial" w:hAnsi="Arial"/>
          <w:sz w:val="24"/>
          <w:szCs w:val="24"/>
        </w:rPr>
        <w:t xml:space="preserve">4) направление декларанту электронного сообщения, содержащего перечень выявленных ошибок при форматном контроле ЭДТ, для их устранения и повторной подачи ЭДТ в автоматическом режиме;</w:t>
      </w:r>
    </w:p>
    <w:p>
      <w:pPr>
        <w:spacing w:after="120"/>
        <w:ind w:firstLine="567"/>
        <w:jc w:val="both"/>
      </w:pPr>
      <w:r>
        <w:rPr>
          <w:rFonts w:ascii="Arial" w:cs="Arial" w:eastAsia="Arial" w:hAnsi="Arial"/>
          <w:sz w:val="24"/>
          <w:szCs w:val="24"/>
        </w:rPr>
        <w:t xml:space="preserve">5) проведение ФЛК после успешного прохождения ЭДТ форматного контроля в течение тридцати минут в автоматическом режиме в целях:</w:t>
      </w:r>
    </w:p>
    <w:p>
      <w:pPr>
        <w:spacing w:after="120"/>
        <w:ind w:firstLine="567"/>
        <w:jc w:val="both"/>
      </w:pPr>
      <w:r>
        <w:rPr>
          <w:rFonts w:ascii="Arial" w:cs="Arial" w:eastAsia="Arial" w:hAnsi="Arial"/>
          <w:sz w:val="24"/>
          <w:szCs w:val="24"/>
        </w:rPr>
        <w:t xml:space="preserve">- соответствия сведений, заявленных в ЭДТ, сведениям, содержащимся в документах, используемых при таможенном декларировании товаров;</w:t>
      </w:r>
    </w:p>
    <w:p>
      <w:pPr>
        <w:spacing w:after="120"/>
        <w:ind w:firstLine="567"/>
        <w:jc w:val="both"/>
      </w:pPr>
      <w:r>
        <w:rPr>
          <w:rFonts w:ascii="Arial" w:cs="Arial" w:eastAsia="Arial" w:hAnsi="Arial"/>
          <w:sz w:val="24"/>
          <w:szCs w:val="24"/>
        </w:rPr>
        <w:t xml:space="preserve">- соблюдения условий помещения товаров под таможенную процедуру экспорта;</w:t>
      </w:r>
    </w:p>
    <w:p>
      <w:pPr>
        <w:spacing w:after="120"/>
        <w:ind w:firstLine="567"/>
        <w:jc w:val="both"/>
      </w:pPr>
      <w:r>
        <w:rPr>
          <w:rFonts w:ascii="Arial" w:cs="Arial" w:eastAsia="Arial" w:hAnsi="Arial"/>
          <w:sz w:val="24"/>
          <w:szCs w:val="24"/>
        </w:rPr>
        <w:t xml:space="preserve">- правильности определения классификационного кода товара по ТНВЭД ЕАЭС;</w:t>
      </w:r>
    </w:p>
    <w:p>
      <w:pPr>
        <w:spacing w:after="120"/>
        <w:ind w:firstLine="567"/>
        <w:jc w:val="both"/>
      </w:pPr>
      <w:r>
        <w:rPr>
          <w:rFonts w:ascii="Arial" w:cs="Arial" w:eastAsia="Arial" w:hAnsi="Arial"/>
          <w:sz w:val="24"/>
          <w:szCs w:val="24"/>
        </w:rPr>
        <w:t xml:space="preserve">- соблюдения запретов и ограничений, мер нетарифного регулирования (проверка лицензий, сертификатов, разрешений и (или) иных документов, подтверждающих соблюдение запретов и ограничений, мер нетарифного регулирования);</w:t>
      </w:r>
    </w:p>
    <w:p>
      <w:pPr>
        <w:spacing w:after="120"/>
        <w:ind w:firstLine="567"/>
        <w:jc w:val="both"/>
      </w:pPr>
      <w:r>
        <w:rPr>
          <w:rFonts w:ascii="Arial" w:cs="Arial" w:eastAsia="Arial" w:hAnsi="Arial"/>
          <w:sz w:val="24"/>
          <w:szCs w:val="24"/>
        </w:rPr>
        <w:t xml:space="preserve">- правильности определения страны происхождения товаров;</w:t>
      </w:r>
    </w:p>
    <w:p>
      <w:pPr>
        <w:spacing w:after="120"/>
        <w:ind w:firstLine="567"/>
        <w:jc w:val="both"/>
      </w:pPr>
      <w:r>
        <w:rPr>
          <w:rFonts w:ascii="Arial" w:cs="Arial" w:eastAsia="Arial" w:hAnsi="Arial"/>
          <w:sz w:val="24"/>
          <w:szCs w:val="24"/>
        </w:rPr>
        <w:t xml:space="preserve">- проведения таможенного контроля заявленной при таможенном декларировании таможенной стоимости товаров (проверка таможенной стоимости, заявленной в ЭДТ, со стоимостью, указанной в коммерческих и иных документах);</w:t>
      </w:r>
    </w:p>
    <w:p>
      <w:pPr>
        <w:spacing w:after="120"/>
        <w:ind w:firstLine="567"/>
        <w:jc w:val="both"/>
      </w:pPr>
      <w:r>
        <w:rPr>
          <w:rFonts w:ascii="Arial" w:cs="Arial" w:eastAsia="Arial" w:hAnsi="Arial"/>
          <w:sz w:val="24"/>
          <w:szCs w:val="24"/>
        </w:rPr>
        <w:t xml:space="preserve">- правильности исчисления и уплаты таможенных платежей;</w:t>
      </w:r>
    </w:p>
    <w:p>
      <w:pPr>
        <w:spacing w:after="120"/>
        <w:ind w:firstLine="567"/>
        <w:jc w:val="both"/>
      </w:pPr>
      <w:r>
        <w:rPr>
          <w:rFonts w:ascii="Arial" w:cs="Arial" w:eastAsia="Arial" w:hAnsi="Arial"/>
          <w:sz w:val="24"/>
          <w:szCs w:val="24"/>
        </w:rPr>
        <w:t xml:space="preserve">6) проверка признаков наличия оснований для отказа в регистрации ЭДТ;</w:t>
      </w:r>
    </w:p>
    <w:p>
      <w:pPr>
        <w:spacing w:after="120"/>
        <w:ind w:firstLine="567"/>
        <w:jc w:val="both"/>
      </w:pPr>
      <w:r>
        <w:rPr>
          <w:rFonts w:ascii="Arial" w:cs="Arial" w:eastAsia="Arial" w:hAnsi="Arial"/>
          <w:sz w:val="24"/>
          <w:szCs w:val="24"/>
        </w:rPr>
        <w:t xml:space="preserve">7) фиксация даты и времени подачи ЭДТ, с использованием информационной системы таможенного органа в автоматическом режиме;</w:t>
      </w:r>
    </w:p>
    <w:p>
      <w:pPr>
        <w:spacing w:after="120"/>
        <w:ind w:firstLine="567"/>
        <w:jc w:val="both"/>
      </w:pPr>
      <w:r>
        <w:rPr>
          <w:rFonts w:ascii="Arial" w:cs="Arial" w:eastAsia="Arial" w:hAnsi="Arial"/>
          <w:sz w:val="24"/>
          <w:szCs w:val="24"/>
        </w:rPr>
        <w:t xml:space="preserve">8) регистрация ЭДТ путем присвоения регистрационного номера в автоматическом режиме;</w:t>
      </w:r>
    </w:p>
    <w:p>
      <w:pPr>
        <w:spacing w:after="120"/>
        <w:ind w:firstLine="567"/>
        <w:jc w:val="both"/>
      </w:pPr>
      <w:r>
        <w:rPr>
          <w:rFonts w:ascii="Arial" w:cs="Arial" w:eastAsia="Arial" w:hAnsi="Arial"/>
          <w:sz w:val="24"/>
          <w:szCs w:val="24"/>
        </w:rPr>
        <w:t xml:space="preserve">9) сопоставление сведений, заявленных в ЭДТ, со сведениями, содержащимися в системе управления рисками, для определения объектов таможенного контроля и форм таможенного контроля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10) принятие решения о выпуске либо отказе в выпуске товаров в автоматическом режиме.</w:t>
      </w:r>
    </w:p>
    <w:p>
      <w:pPr>
        <w:spacing w:after="120"/>
        <w:ind w:firstLine="567"/>
        <w:jc w:val="both"/>
      </w:pPr>
      <w:r>
        <w:rPr>
          <w:rFonts w:ascii="Arial" w:cs="Arial" w:eastAsia="Arial" w:hAnsi="Arial"/>
          <w:sz w:val="24"/>
          <w:szCs w:val="24"/>
        </w:rPr>
        <w:t xml:space="preserve">27. Основаниями для отказа исполнения Стандарта 4 являются:</w:t>
      </w:r>
    </w:p>
    <w:p>
      <w:pPr>
        <w:spacing w:after="120"/>
        <w:ind w:firstLine="567"/>
        <w:jc w:val="both"/>
      </w:pPr>
      <w:r>
        <w:rPr>
          <w:rFonts w:ascii="Arial" w:cs="Arial" w:eastAsia="Arial" w:hAnsi="Arial"/>
          <w:sz w:val="24"/>
          <w:szCs w:val="24"/>
        </w:rPr>
        <w:t xml:space="preserve">1) при регистрации ЭДТ:</w:t>
      </w:r>
    </w:p>
    <w:p>
      <w:pPr>
        <w:spacing w:after="120"/>
        <w:ind w:firstLine="567"/>
        <w:jc w:val="both"/>
      </w:pPr>
      <w:r>
        <w:rPr>
          <w:rFonts w:ascii="Arial" w:cs="Arial" w:eastAsia="Arial" w:hAnsi="Arial"/>
          <w:sz w:val="24"/>
          <w:szCs w:val="24"/>
        </w:rPr>
        <w:t xml:space="preserve">- ЭДТ подана таможенному органу, неправомочному регистрировать ЭДТ;</w:t>
      </w:r>
    </w:p>
    <w:p>
      <w:pPr>
        <w:spacing w:after="120"/>
        <w:ind w:firstLine="567"/>
        <w:jc w:val="both"/>
      </w:pPr>
      <w:r>
        <w:rPr>
          <w:rFonts w:ascii="Arial" w:cs="Arial" w:eastAsia="Arial" w:hAnsi="Arial"/>
          <w:sz w:val="24"/>
          <w:szCs w:val="24"/>
        </w:rPr>
        <w:t xml:space="preserve">- ЭДТ подана неуполномоченным лицом и (или) не подписана либо не удостоверена надлежащим образом;</w:t>
      </w:r>
    </w:p>
    <w:p>
      <w:pPr>
        <w:spacing w:after="120"/>
        <w:ind w:firstLine="567"/>
        <w:jc w:val="both"/>
      </w:pPr>
      <w:r>
        <w:rPr>
          <w:rFonts w:ascii="Arial" w:cs="Arial" w:eastAsia="Arial" w:hAnsi="Arial"/>
          <w:sz w:val="24"/>
          <w:szCs w:val="24"/>
        </w:rPr>
        <w:t xml:space="preserve">- не соблюдена форма таможенного декларирования;</w:t>
      </w:r>
    </w:p>
    <w:p>
      <w:pPr>
        <w:spacing w:after="120"/>
        <w:ind w:firstLine="567"/>
        <w:jc w:val="both"/>
      </w:pPr>
      <w:r>
        <w:rPr>
          <w:rFonts w:ascii="Arial" w:cs="Arial" w:eastAsia="Arial" w:hAnsi="Arial"/>
          <w:sz w:val="24"/>
          <w:szCs w:val="24"/>
        </w:rPr>
        <w:t xml:space="preserve">- в ЭДТ не указаны сведения, подлежащие указанию в соответствии с международными договорами Кыргызской Республики и актами, составляющими право Евразийского экономического союза, и (или) ЭТД заполнена не в соответствии с установленным порядком ее заполнения;</w:t>
      </w:r>
    </w:p>
    <w:p>
      <w:pPr>
        <w:spacing w:after="120"/>
        <w:ind w:firstLine="567"/>
        <w:jc w:val="both"/>
      </w:pPr>
      <w:r>
        <w:rPr>
          <w:rFonts w:ascii="Arial" w:cs="Arial" w:eastAsia="Arial" w:hAnsi="Arial"/>
          <w:sz w:val="24"/>
          <w:szCs w:val="24"/>
        </w:rPr>
        <w:t xml:space="preserve">- структура и формат электронной таможенной декларации не соответствуют установленным структурам и форматам ЭДТ;</w:t>
      </w:r>
    </w:p>
    <w:p>
      <w:pPr>
        <w:spacing w:after="120"/>
        <w:ind w:firstLine="567"/>
        <w:jc w:val="both"/>
      </w:pPr>
      <w:r>
        <w:rPr>
          <w:rFonts w:ascii="Arial" w:cs="Arial" w:eastAsia="Arial" w:hAnsi="Arial"/>
          <w:sz w:val="24"/>
          <w:szCs w:val="24"/>
        </w:rPr>
        <w:t xml:space="preserve">- не совершены действия, которые в соответствии с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 и (или) законодательством Кыргызской Республики в сфере таможенного дела должны совершаться до подачи или одновременно с подачей ЭДТ;</w:t>
      </w:r>
    </w:p>
    <w:p>
      <w:pPr>
        <w:spacing w:after="120"/>
        <w:ind w:firstLine="567"/>
        <w:jc w:val="both"/>
      </w:pPr>
      <w:r>
        <w:rPr>
          <w:rFonts w:ascii="Arial" w:cs="Arial" w:eastAsia="Arial" w:hAnsi="Arial"/>
          <w:sz w:val="24"/>
          <w:szCs w:val="24"/>
        </w:rPr>
        <w:t xml:space="preserve">- не соблюдены особенности таможенного декларирования товаров, установленные законодательством Кыргызской Республики в сфере таможенного дела, которые должны соблюдаться до подачи или одновременно с подачей таможенной декларации;</w:t>
      </w:r>
    </w:p>
    <w:p>
      <w:pPr>
        <w:spacing w:after="120"/>
        <w:ind w:firstLine="567"/>
        <w:jc w:val="both"/>
      </w:pPr>
      <w:r>
        <w:rPr>
          <w:rFonts w:ascii="Arial" w:cs="Arial" w:eastAsia="Arial" w:hAnsi="Arial"/>
          <w:sz w:val="24"/>
          <w:szCs w:val="24"/>
        </w:rPr>
        <w:t xml:space="preserve">2) при выпуске товаров:</w:t>
      </w:r>
    </w:p>
    <w:p>
      <w:pPr>
        <w:spacing w:after="120"/>
        <w:ind w:firstLine="567"/>
        <w:jc w:val="both"/>
      </w:pPr>
      <w:r>
        <w:rPr>
          <w:rFonts w:ascii="Arial" w:cs="Arial" w:eastAsia="Arial" w:hAnsi="Arial"/>
          <w:sz w:val="24"/>
          <w:szCs w:val="24"/>
        </w:rPr>
        <w:t xml:space="preserve">- не соблюдены условия, при которых таможенный орган производит выпуск товаров;</w:t>
      </w:r>
    </w:p>
    <w:p>
      <w:pPr>
        <w:spacing w:after="120"/>
        <w:ind w:firstLine="567"/>
        <w:jc w:val="both"/>
      </w:pPr>
      <w:r>
        <w:rPr>
          <w:rFonts w:ascii="Arial" w:cs="Arial" w:eastAsia="Arial" w:hAnsi="Arial"/>
          <w:sz w:val="24"/>
          <w:szCs w:val="24"/>
        </w:rPr>
        <w:t xml:space="preserve">- не выполнены требования таможенного органа о представлении декларантом документов, в случаях, предусмотренных пунктами 2 и 7 </w:t>
      </w:r>
      <w:r>
        <w:rPr>
          <w:rFonts w:ascii="Arial" w:cs="Arial" w:eastAsia="Arial" w:hAnsi="Arial"/>
          <w:sz w:val="24"/>
          <w:szCs w:val="24"/>
        </w:rPr>
        <w:t xml:space="preserve">статьи 325</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не реализованы требования таможенного органа об изменении (дополнении) сведений, заявленных в ЭТД, в случае, предусмотренном пунктом 2 </w:t>
      </w:r>
      <w:r>
        <w:rPr>
          <w:rFonts w:ascii="Arial" w:cs="Arial" w:eastAsia="Arial" w:hAnsi="Arial"/>
          <w:sz w:val="24"/>
          <w:szCs w:val="24"/>
        </w:rPr>
        <w:t xml:space="preserve">статьи 112</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 в случае выявления административного правонарушения или преступления при условии, что такие товары не изъяты или на них не наложен арест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Стандарт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w:t>
      </w:r>
    </w:p>
    <w:p>
      <w:pPr>
        <w:spacing w:after="120"/>
        <w:ind w:firstLine="567"/>
        <w:jc w:val="both"/>
      </w:pPr>
      <w:r>
        <w:rPr>
          <w:rFonts w:ascii="Arial" w:cs="Arial" w:eastAsia="Arial" w:hAnsi="Arial"/>
          <w:sz w:val="24"/>
          <w:szCs w:val="24"/>
        </w:rPr>
        <w:t xml:space="preserve">28. Стандарт "Совершение таможенных операций, связанных с убытием товаров и транспортных средств с таможенной территории Евразийского экономического союза через автомобильные пункты пропуска" (далее - Стандарт 5) разработан в соответствии с </w:t>
      </w:r>
      <w:r>
        <w:rPr>
          <w:rFonts w:ascii="Arial" w:cs="Arial" w:eastAsia="Arial" w:hAnsi="Arial"/>
          <w:sz w:val="24"/>
          <w:szCs w:val="24"/>
        </w:rPr>
        <w:t xml:space="preserve">главой 15</w:t>
      </w:r>
      <w:r>
        <w:rPr>
          <w:rFonts w:ascii="Arial" w:cs="Arial" w:eastAsia="Arial" w:hAnsi="Arial"/>
          <w:sz w:val="24"/>
          <w:szCs w:val="24"/>
        </w:rPr>
        <w:t xml:space="preserve"> Таможенного кодекса Евразийского экономического союза, Порядком совершения таможенных операций, связанных с убытием с таможенной территории Евразийского экономического союза и прибытием на таможенную территорию Евразийского экономического союза товаров Евразийского экономического союза, помещенных под таможенную процедуру экспорта, утвержденным решением Коллегии Евразийской экономической комиссии "О некоторых вопросах совершения таможенных операций при прибытии и убытии отдельных категорий товаров, перевозимых через территории государств, не являющихся членами Евразийского экономического союза, и (или) морем без помещения под таможенную процедуру таможенного транзита" от 7 ноября 2017 года № 134, решениями Коллегии Евразийской экономической комиссии "О Порядке подтверждения таможенными органами государств - членов Евразийского экономического союза фактического вывоза товаров с таможенной территории Союза" от 7 февраля 2018 года № 25, Комиссии Таможенного союза Евразийского экономического сообщества "О формах таможенных документов" от 20 мая 2010 года № 260, "О форме и порядке заполнения транзитной декларации" от 18 июня 2010 года № 289, "О порядке совершения таможенными органами таможенных операций, связанных с подачей, регистрацией транзитной декларации и завершением таможенной процедуры таможенного транзита" от 17 августа 2010 года № 438.</w:t>
      </w:r>
    </w:p>
    <w:p>
      <w:pPr>
        <w:spacing w:after="120"/>
        <w:ind w:firstLine="567"/>
        <w:jc w:val="both"/>
      </w:pPr>
      <w:r>
        <w:rPr>
          <w:rFonts w:ascii="Arial" w:cs="Arial" w:eastAsia="Arial" w:hAnsi="Arial"/>
          <w:sz w:val="24"/>
          <w:szCs w:val="24"/>
        </w:rPr>
        <w:t xml:space="preserve">29. Сроки исполнения Стандарта 5:</w:t>
      </w:r>
    </w:p>
    <w:p>
      <w:pPr>
        <w:spacing w:after="120"/>
        <w:ind w:firstLine="567"/>
        <w:jc w:val="both"/>
      </w:pPr>
      <w:r>
        <w:rPr>
          <w:rFonts w:ascii="Arial" w:cs="Arial" w:eastAsia="Arial" w:hAnsi="Arial"/>
          <w:sz w:val="24"/>
          <w:szCs w:val="24"/>
        </w:rPr>
        <w:t xml:space="preserve">1) принятие сообщения об убытии товаров и транспортных средств с таможенной территории ЕАЭС - в течение пятнадцати минут;</w:t>
      </w:r>
    </w:p>
    <w:p>
      <w:pPr>
        <w:spacing w:after="120"/>
        <w:ind w:firstLine="567"/>
        <w:jc w:val="both"/>
      </w:pPr>
      <w:r>
        <w:rPr>
          <w:rFonts w:ascii="Arial" w:cs="Arial" w:eastAsia="Arial" w:hAnsi="Arial"/>
          <w:sz w:val="24"/>
          <w:szCs w:val="24"/>
        </w:rPr>
        <w:t xml:space="preserve">2) регистрация разрешения на убытие факта убытия товаров и транспортных средств с таможенной территории ЕАЭС - в течение пятнадцати минут с момента принятия сообщения об убытии в автоматическом режиме;</w:t>
      </w:r>
    </w:p>
    <w:p>
      <w:pPr>
        <w:spacing w:after="120"/>
        <w:ind w:firstLine="567"/>
        <w:jc w:val="both"/>
      </w:pPr>
      <w:r>
        <w:rPr>
          <w:rFonts w:ascii="Arial" w:cs="Arial" w:eastAsia="Arial" w:hAnsi="Arial"/>
          <w:sz w:val="24"/>
          <w:szCs w:val="24"/>
        </w:rPr>
        <w:t xml:space="preserve">3) отказ в регистрации разрешения факта убытия товаров и транспортных средств с таможенной территории ЕАЭС - в течение пятнадцати минут с момента принятия сообщения об убытии - в автоматическом режиме;</w:t>
      </w:r>
    </w:p>
    <w:p>
      <w:pPr>
        <w:spacing w:after="120"/>
        <w:ind w:firstLine="567"/>
        <w:jc w:val="both"/>
      </w:pPr>
      <w:r>
        <w:rPr>
          <w:rFonts w:ascii="Arial" w:cs="Arial" w:eastAsia="Arial" w:hAnsi="Arial"/>
          <w:sz w:val="24"/>
          <w:szCs w:val="24"/>
        </w:rPr>
        <w:t xml:space="preserve">4) принятие решения о разрешении на убытие товаров и транспортных средств с таможенной территории ЕАЭС - в автоматическом режиме;</w:t>
      </w:r>
    </w:p>
    <w:p>
      <w:pPr>
        <w:spacing w:after="120"/>
        <w:ind w:firstLine="567"/>
        <w:jc w:val="both"/>
      </w:pPr>
      <w:r>
        <w:rPr>
          <w:rFonts w:ascii="Arial" w:cs="Arial" w:eastAsia="Arial" w:hAnsi="Arial"/>
          <w:sz w:val="24"/>
          <w:szCs w:val="24"/>
        </w:rPr>
        <w:t xml:space="preserve">5) принятие решения о запрете на убытие товаров и транспортных средств с таможенной территории ЕАЭС - в автоматическом режиме.</w:t>
      </w:r>
    </w:p>
    <w:p>
      <w:pPr>
        <w:spacing w:after="120"/>
        <w:ind w:firstLine="567"/>
        <w:jc w:val="both"/>
      </w:pPr>
      <w:r>
        <w:rPr>
          <w:rFonts w:ascii="Arial" w:cs="Arial" w:eastAsia="Arial" w:hAnsi="Arial"/>
          <w:sz w:val="24"/>
          <w:szCs w:val="24"/>
        </w:rPr>
        <w:t xml:space="preserve">30. Результаты исполнения Стандарта 5:</w:t>
      </w:r>
    </w:p>
    <w:p>
      <w:pPr>
        <w:spacing w:after="120"/>
        <w:ind w:firstLine="567"/>
        <w:jc w:val="both"/>
      </w:pPr>
      <w:r>
        <w:rPr>
          <w:rFonts w:ascii="Arial" w:cs="Arial" w:eastAsia="Arial" w:hAnsi="Arial"/>
          <w:sz w:val="24"/>
          <w:szCs w:val="24"/>
        </w:rPr>
        <w:t xml:space="preserve">1) регистрация факта убытия товаров и транспортных средств с таможенной территории ЕАЭС;</w:t>
      </w:r>
    </w:p>
    <w:p>
      <w:pPr>
        <w:spacing w:after="120"/>
        <w:ind w:firstLine="567"/>
        <w:jc w:val="both"/>
      </w:pPr>
      <w:r>
        <w:rPr>
          <w:rFonts w:ascii="Arial" w:cs="Arial" w:eastAsia="Arial" w:hAnsi="Arial"/>
          <w:sz w:val="24"/>
          <w:szCs w:val="24"/>
        </w:rPr>
        <w:t xml:space="preserve">2) отказ в регистрации факта убытия товаров и транспортных средств с таможенной территории ЕАЭС.</w:t>
      </w:r>
    </w:p>
    <w:p>
      <w:pPr>
        <w:spacing w:after="120"/>
        <w:ind w:firstLine="567"/>
        <w:jc w:val="both"/>
      </w:pPr>
      <w:r>
        <w:rPr>
          <w:rFonts w:ascii="Arial" w:cs="Arial" w:eastAsia="Arial" w:hAnsi="Arial"/>
          <w:sz w:val="24"/>
          <w:szCs w:val="24"/>
        </w:rPr>
        <w:t xml:space="preserve">31. Перечень документов и сведений, необходимых для исполнения Стандарта 5:</w:t>
      </w:r>
    </w:p>
    <w:p>
      <w:pPr>
        <w:spacing w:after="120"/>
        <w:ind w:firstLine="567"/>
        <w:jc w:val="both"/>
      </w:pPr>
      <w:r>
        <w:rPr>
          <w:rFonts w:ascii="Arial" w:cs="Arial" w:eastAsia="Arial" w:hAnsi="Arial"/>
          <w:sz w:val="24"/>
          <w:szCs w:val="24"/>
        </w:rPr>
        <w:t xml:space="preserve">1) документы на транспортное средство международной перевозки;</w:t>
      </w:r>
    </w:p>
    <w:p>
      <w:pPr>
        <w:spacing w:after="120"/>
        <w:ind w:firstLine="567"/>
        <w:jc w:val="both"/>
      </w:pPr>
      <w:r>
        <w:rPr>
          <w:rFonts w:ascii="Arial" w:cs="Arial" w:eastAsia="Arial" w:hAnsi="Arial"/>
          <w:sz w:val="24"/>
          <w:szCs w:val="24"/>
        </w:rPr>
        <w:t xml:space="preserve">2) транспортные (перевозочные) документы;</w:t>
      </w:r>
    </w:p>
    <w:p>
      <w:pPr>
        <w:spacing w:after="120"/>
        <w:ind w:firstLine="567"/>
        <w:jc w:val="both"/>
      </w:pPr>
      <w:r>
        <w:rPr>
          <w:rFonts w:ascii="Arial" w:cs="Arial" w:eastAsia="Arial" w:hAnsi="Arial"/>
          <w:sz w:val="24"/>
          <w:szCs w:val="24"/>
        </w:rPr>
        <w:t xml:space="preserve">3) документы, сопровождающие международные почтовые отправления при их перевозке, определенные актами Всемирного почтового союза;</w:t>
      </w:r>
    </w:p>
    <w:p>
      <w:pPr>
        <w:spacing w:after="120"/>
        <w:ind w:firstLine="567"/>
        <w:jc w:val="both"/>
      </w:pPr>
      <w:r>
        <w:rPr>
          <w:rFonts w:ascii="Arial" w:cs="Arial" w:eastAsia="Arial" w:hAnsi="Arial"/>
          <w:sz w:val="24"/>
          <w:szCs w:val="24"/>
        </w:rPr>
        <w:t xml:space="preserve">4) коммерческие документы на перевозимые товары;</w:t>
      </w:r>
    </w:p>
    <w:p>
      <w:pPr>
        <w:spacing w:after="120"/>
        <w:ind w:firstLine="567"/>
        <w:jc w:val="both"/>
      </w:pPr>
      <w:r>
        <w:rPr>
          <w:rFonts w:ascii="Arial" w:cs="Arial" w:eastAsia="Arial" w:hAnsi="Arial"/>
          <w:sz w:val="24"/>
          <w:szCs w:val="24"/>
        </w:rPr>
        <w:t xml:space="preserve">5) сведения о:</w:t>
      </w:r>
    </w:p>
    <w:p>
      <w:pPr>
        <w:spacing w:after="120"/>
        <w:ind w:firstLine="567"/>
        <w:jc w:val="both"/>
      </w:pPr>
      <w:r>
        <w:rPr>
          <w:rFonts w:ascii="Arial" w:cs="Arial" w:eastAsia="Arial" w:hAnsi="Arial"/>
          <w:sz w:val="24"/>
          <w:szCs w:val="24"/>
        </w:rPr>
        <w:t xml:space="preserve">- государственной регистрации транспортного средства международной перевозки;</w:t>
      </w:r>
    </w:p>
    <w:p>
      <w:pPr>
        <w:spacing w:after="120"/>
        <w:ind w:firstLine="567"/>
        <w:jc w:val="both"/>
      </w:pPr>
      <w:r>
        <w:rPr>
          <w:rFonts w:ascii="Arial" w:cs="Arial" w:eastAsia="Arial" w:hAnsi="Arial"/>
          <w:sz w:val="24"/>
          <w:szCs w:val="24"/>
        </w:rPr>
        <w:t xml:space="preserve">- перевозчике товаров (наименование и адрес);</w:t>
      </w:r>
    </w:p>
    <w:p>
      <w:pPr>
        <w:spacing w:after="120"/>
        <w:ind w:firstLine="567"/>
        <w:jc w:val="both"/>
      </w:pPr>
      <w:r>
        <w:rPr>
          <w:rFonts w:ascii="Arial" w:cs="Arial" w:eastAsia="Arial" w:hAnsi="Arial"/>
          <w:sz w:val="24"/>
          <w:szCs w:val="24"/>
        </w:rPr>
        <w:t xml:space="preserve">- стране отправления и стране назначения товаров (наименования);</w:t>
      </w:r>
    </w:p>
    <w:p>
      <w:pPr>
        <w:spacing w:after="120"/>
        <w:ind w:firstLine="567"/>
        <w:jc w:val="both"/>
      </w:pPr>
      <w:r>
        <w:rPr>
          <w:rFonts w:ascii="Arial" w:cs="Arial" w:eastAsia="Arial" w:hAnsi="Arial"/>
          <w:sz w:val="24"/>
          <w:szCs w:val="24"/>
        </w:rPr>
        <w:t xml:space="preserve">- отправителе и получателе товаров (наименования и адреса);</w:t>
      </w:r>
    </w:p>
    <w:p>
      <w:pPr>
        <w:spacing w:after="120"/>
        <w:ind w:firstLine="567"/>
        <w:jc w:val="both"/>
      </w:pPr>
      <w:r>
        <w:rPr>
          <w:rFonts w:ascii="Arial" w:cs="Arial" w:eastAsia="Arial" w:hAnsi="Arial"/>
          <w:sz w:val="24"/>
          <w:szCs w:val="24"/>
        </w:rPr>
        <w:t xml:space="preserve">- продавце и покупателе товаров в соответствии с имеющимися у перевозчика коммерческими документами;</w:t>
      </w:r>
    </w:p>
    <w:p>
      <w:pPr>
        <w:spacing w:after="120"/>
        <w:ind w:firstLine="567"/>
        <w:jc w:val="both"/>
      </w:pPr>
      <w:r>
        <w:rPr>
          <w:rFonts w:ascii="Arial" w:cs="Arial" w:eastAsia="Arial" w:hAnsi="Arial"/>
          <w:sz w:val="24"/>
          <w:szCs w:val="24"/>
        </w:rPr>
        <w:t xml:space="preserve">- количестве грузовых мест, их маркировке и видах упаковок товаров;</w:t>
      </w:r>
    </w:p>
    <w:p>
      <w:pPr>
        <w:spacing w:after="120"/>
        <w:ind w:firstLine="567"/>
        <w:jc w:val="both"/>
      </w:pPr>
      <w:r>
        <w:rPr>
          <w:rFonts w:ascii="Arial" w:cs="Arial" w:eastAsia="Arial" w:hAnsi="Arial"/>
          <w:sz w:val="24"/>
          <w:szCs w:val="24"/>
        </w:rPr>
        <w:t xml:space="preserve">- товарах (наименования и коды товаров в соответствии с Гармонизированной системой описания и кодирования товаров или ТН ВЭД ЕАЭС на уровне не менее первых 6 знаков);</w:t>
      </w:r>
    </w:p>
    <w:p>
      <w:pPr>
        <w:spacing w:after="120"/>
        <w:ind w:firstLine="567"/>
        <w:jc w:val="both"/>
      </w:pPr>
      <w:r>
        <w:rPr>
          <w:rFonts w:ascii="Arial" w:cs="Arial" w:eastAsia="Arial" w:hAnsi="Arial"/>
          <w:sz w:val="24"/>
          <w:szCs w:val="24"/>
        </w:rPr>
        <w:t xml:space="preserve">- весе брутто товаров (в килограммах) либо объеме товаров (в кубических метрах);</w:t>
      </w:r>
    </w:p>
    <w:p>
      <w:pPr>
        <w:spacing w:after="120"/>
        <w:ind w:firstLine="567"/>
        <w:jc w:val="both"/>
      </w:pPr>
      <w:r>
        <w:rPr>
          <w:rFonts w:ascii="Arial" w:cs="Arial" w:eastAsia="Arial" w:hAnsi="Arial"/>
          <w:sz w:val="24"/>
          <w:szCs w:val="24"/>
        </w:rPr>
        <w:t xml:space="preserve">- наличии (отсутствии) товаров, вывоз которых запрещен или ограничен;</w:t>
      </w:r>
    </w:p>
    <w:p>
      <w:pPr>
        <w:spacing w:after="120"/>
        <w:ind w:firstLine="567"/>
        <w:jc w:val="both"/>
      </w:pPr>
      <w:r>
        <w:rPr>
          <w:rFonts w:ascii="Arial" w:cs="Arial" w:eastAsia="Arial" w:hAnsi="Arial"/>
          <w:sz w:val="24"/>
          <w:szCs w:val="24"/>
        </w:rPr>
        <w:t xml:space="preserve">- месте и дате составления международной товаротранспортной накладной;</w:t>
      </w:r>
    </w:p>
    <w:p>
      <w:pPr>
        <w:spacing w:after="120"/>
        <w:ind w:firstLine="567"/>
        <w:jc w:val="both"/>
      </w:pPr>
      <w:r>
        <w:rPr>
          <w:rFonts w:ascii="Arial" w:cs="Arial" w:eastAsia="Arial" w:hAnsi="Arial"/>
          <w:sz w:val="24"/>
          <w:szCs w:val="24"/>
        </w:rPr>
        <w:t xml:space="preserve">- идентификационных номерах контейнеров;</w:t>
      </w:r>
    </w:p>
    <w:p>
      <w:pPr>
        <w:spacing w:after="120"/>
        <w:ind w:firstLine="567"/>
        <w:jc w:val="both"/>
      </w:pPr>
      <w:r>
        <w:rPr>
          <w:rFonts w:ascii="Arial" w:cs="Arial" w:eastAsia="Arial" w:hAnsi="Arial"/>
          <w:sz w:val="24"/>
          <w:szCs w:val="24"/>
        </w:rPr>
        <w:t xml:space="preserve">6) документы и (или) сведения, подтверждающие соблюдение запретов и ограничений, в соответствии со </w:t>
      </w:r>
      <w:r>
        <w:rPr>
          <w:rFonts w:ascii="Arial" w:cs="Arial" w:eastAsia="Arial" w:hAnsi="Arial"/>
          <w:sz w:val="24"/>
          <w:szCs w:val="24"/>
        </w:rPr>
        <w:t xml:space="preserve">статьей 7</w:t>
      </w:r>
      <w:r>
        <w:rPr>
          <w:rFonts w:ascii="Arial" w:cs="Arial" w:eastAsia="Arial" w:hAnsi="Arial"/>
          <w:sz w:val="24"/>
          <w:szCs w:val="24"/>
        </w:rPr>
        <w:t xml:space="preserve"> Таможенного кодекса Евразийского экономического союза;</w:t>
      </w:r>
    </w:p>
    <w:p>
      <w:pPr>
        <w:spacing w:after="120"/>
        <w:ind w:firstLine="567"/>
        <w:jc w:val="both"/>
      </w:pPr>
      <w:r>
        <w:rPr>
          <w:rFonts w:ascii="Arial" w:cs="Arial" w:eastAsia="Arial" w:hAnsi="Arial"/>
          <w:sz w:val="24"/>
          <w:szCs w:val="24"/>
        </w:rPr>
        <w:t xml:space="preserve">7) декларация на товары, транзитная декларация.</w:t>
      </w:r>
    </w:p>
    <w:p>
      <w:pPr>
        <w:spacing w:after="120"/>
        <w:ind w:firstLine="567"/>
        <w:jc w:val="both"/>
      </w:pPr>
      <w:r>
        <w:rPr>
          <w:rFonts w:ascii="Arial" w:cs="Arial" w:eastAsia="Arial" w:hAnsi="Arial"/>
          <w:sz w:val="24"/>
          <w:szCs w:val="24"/>
        </w:rPr>
        <w:t xml:space="preserve">32. Перечень основных мер, необходимых для исполнения Стандарта 5:</w:t>
      </w:r>
    </w:p>
    <w:p>
      <w:pPr>
        <w:spacing w:after="120"/>
        <w:ind w:firstLine="567"/>
        <w:jc w:val="both"/>
      </w:pPr>
      <w:r>
        <w:rPr>
          <w:rFonts w:ascii="Arial" w:cs="Arial" w:eastAsia="Arial" w:hAnsi="Arial"/>
          <w:sz w:val="24"/>
          <w:szCs w:val="24"/>
        </w:rPr>
        <w:t xml:space="preserve">1) фиксация даты и времени принятия сообщения об убытии товаров и транспортных средств с таможенной территории ЕАЭС в автоматическом режиме;</w:t>
      </w:r>
    </w:p>
    <w:p>
      <w:pPr>
        <w:spacing w:after="120"/>
        <w:ind w:firstLine="567"/>
        <w:jc w:val="both"/>
      </w:pPr>
      <w:r>
        <w:rPr>
          <w:rFonts w:ascii="Arial" w:cs="Arial" w:eastAsia="Arial" w:hAnsi="Arial"/>
          <w:sz w:val="24"/>
          <w:szCs w:val="24"/>
        </w:rPr>
        <w:t xml:space="preserve">2) завершение таможенной процедуры таможенного транзита (если перевозка (доставка) товаров осуществлялась в таможенный орган, расположенный в месте убытия), в том числе принятие решения об оформлении завершения таможенной процедуры таможенного транзита в течение пяти минут с момента подачи транзитной декларации таможенному органу;</w:t>
      </w:r>
    </w:p>
    <w:p>
      <w:pPr>
        <w:spacing w:after="120"/>
        <w:ind w:firstLine="567"/>
        <w:jc w:val="both"/>
      </w:pPr>
      <w:r>
        <w:rPr>
          <w:rFonts w:ascii="Arial" w:cs="Arial" w:eastAsia="Arial" w:hAnsi="Arial"/>
          <w:sz w:val="24"/>
          <w:szCs w:val="24"/>
        </w:rPr>
        <w:t xml:space="preserve">3) проверка наличия документов и сведений, указанных в пункте 30 настоящего параграфа, в том числе таможенной декларации, допускающей вывоз товаров с таможенной территории ЕАЭС, акта таможенного досмотра (осмотра) в течение пяти минут с момента представления перевозчиком документов таможенному органу;</w:t>
      </w:r>
    </w:p>
    <w:p>
      <w:pPr>
        <w:spacing w:after="120"/>
        <w:ind w:firstLine="567"/>
        <w:jc w:val="both"/>
      </w:pPr>
      <w:r>
        <w:rPr>
          <w:rFonts w:ascii="Arial" w:cs="Arial" w:eastAsia="Arial" w:hAnsi="Arial"/>
          <w:sz w:val="24"/>
          <w:szCs w:val="24"/>
        </w:rPr>
        <w:t xml:space="preserve">4) проверка соответствия сведений, указанных в декларации на товары в электронном виде, сведениям, содержащимся в транспортных (перевозочных), коммерческих и иных документах в течение десяти минут с момента представления перевозчиком документов таможенному органу;</w:t>
      </w:r>
    </w:p>
    <w:p>
      <w:pPr>
        <w:spacing w:after="120"/>
        <w:ind w:firstLine="567"/>
        <w:jc w:val="both"/>
      </w:pPr>
      <w:r>
        <w:rPr>
          <w:rFonts w:ascii="Arial" w:cs="Arial" w:eastAsia="Arial" w:hAnsi="Arial"/>
          <w:sz w:val="24"/>
          <w:szCs w:val="24"/>
        </w:rPr>
        <w:t xml:space="preserve">5) проведение ФЛК в автоматическом режиме в целях:</w:t>
      </w:r>
    </w:p>
    <w:p>
      <w:pPr>
        <w:spacing w:after="120"/>
        <w:ind w:firstLine="567"/>
        <w:jc w:val="both"/>
      </w:pPr>
      <w:r>
        <w:rPr>
          <w:rFonts w:ascii="Arial" w:cs="Arial" w:eastAsia="Arial" w:hAnsi="Arial"/>
          <w:sz w:val="24"/>
          <w:szCs w:val="24"/>
        </w:rPr>
        <w:t xml:space="preserve">- выявления товаров, вывоз которых с таможенной территории ЕАЭС в соответствии с международными договорами и актами, составляющими право Евразийского экономического союза и законодательства Кыргызской Республики, запрещен или ограничен;</w:t>
      </w:r>
    </w:p>
    <w:p>
      <w:pPr>
        <w:spacing w:after="120"/>
        <w:ind w:firstLine="567"/>
        <w:jc w:val="both"/>
      </w:pPr>
      <w:r>
        <w:rPr>
          <w:rFonts w:ascii="Arial" w:cs="Arial" w:eastAsia="Arial" w:hAnsi="Arial"/>
          <w:sz w:val="24"/>
          <w:szCs w:val="24"/>
        </w:rPr>
        <w:t xml:space="preserve">- проверки документов (сведений) о наличии проведения в отношении товаров и транспортных средств фитосанитарного, ветеринарного и транспортного контроля (надзора);</w:t>
      </w:r>
    </w:p>
    <w:p>
      <w:pPr>
        <w:spacing w:after="120"/>
        <w:ind w:firstLine="567"/>
        <w:jc w:val="both"/>
      </w:pPr>
      <w:r>
        <w:rPr>
          <w:rFonts w:ascii="Arial" w:cs="Arial" w:eastAsia="Arial" w:hAnsi="Arial"/>
          <w:sz w:val="24"/>
          <w:szCs w:val="24"/>
        </w:rPr>
        <w:t xml:space="preserve">- соответствия сведений о фактически вывозимых товарах и их количестве в основных и дополнительных единицах измерения сведениям, указанным в декларации на товары в электронном виде;</w:t>
      </w:r>
    </w:p>
    <w:p>
      <w:pPr>
        <w:spacing w:after="120"/>
        <w:ind w:firstLine="567"/>
        <w:jc w:val="both"/>
      </w:pPr>
      <w:r>
        <w:rPr>
          <w:rFonts w:ascii="Arial" w:cs="Arial" w:eastAsia="Arial" w:hAnsi="Arial"/>
          <w:sz w:val="24"/>
          <w:szCs w:val="24"/>
        </w:rPr>
        <w:t xml:space="preserve">6) в случае выявления рисков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7) проверка сохранности наложенных на грузовые отделения транспортных средств печатей и пломб либо иных средств идентификации, целостности грузового отделения транспортного средства и его соответствия установленным требованиям, состояния тары или упаковки товаров при их перевозке в транспортных средствах в течение пятнадцати минут с момента принятия сообщения об убытии;</w:t>
      </w:r>
    </w:p>
    <w:p>
      <w:pPr>
        <w:spacing w:after="120"/>
        <w:ind w:firstLine="567"/>
        <w:jc w:val="both"/>
      </w:pPr>
      <w:r>
        <w:rPr>
          <w:rFonts w:ascii="Arial" w:cs="Arial" w:eastAsia="Arial" w:hAnsi="Arial"/>
          <w:sz w:val="24"/>
          <w:szCs w:val="24"/>
        </w:rPr>
        <w:t xml:space="preserve">8) принятие решения об оформлении разрешения на убытие товаров и транспортных средств с таможенной территории ЕАЭС путем присвоения регистрационного номера разрешения на убытие товара с указанием даты и времени убытия товара в автоматическом режиме;</w:t>
      </w:r>
    </w:p>
    <w:p>
      <w:pPr>
        <w:spacing w:after="120"/>
        <w:ind w:firstLine="567"/>
        <w:jc w:val="both"/>
      </w:pPr>
      <w:r>
        <w:rPr>
          <w:rFonts w:ascii="Arial" w:cs="Arial" w:eastAsia="Arial" w:hAnsi="Arial"/>
          <w:sz w:val="24"/>
          <w:szCs w:val="24"/>
        </w:rPr>
        <w:t xml:space="preserve">9) отказ в принятии решения об оформлении разрешения на убытие товаров и транспортных средств с таможенной территории ЕАЭС в автоматическом режиме;</w:t>
      </w:r>
    </w:p>
    <w:p>
      <w:pPr>
        <w:spacing w:after="120"/>
        <w:ind w:firstLine="567"/>
        <w:jc w:val="both"/>
      </w:pPr>
      <w:r>
        <w:rPr>
          <w:rFonts w:ascii="Arial" w:cs="Arial" w:eastAsia="Arial" w:hAnsi="Arial"/>
          <w:sz w:val="24"/>
          <w:szCs w:val="24"/>
        </w:rPr>
        <w:t xml:space="preserve">10) формирование и направление электронного подтверждения в таможенный орган, который осуществил выпуск товаров, содержащее сведения об оформлении разрешения на убытие товаров и транспортных средств с таможенной территории ЕАЭС с указанием регистрационного номера разрешения на убытие товара, даты и времени убытия товара, а также иных сведений, предусмотренных Порядком подтверждения таможенными органами государств - членов Евразийского экономического союза фактического вывоза товаров с таможенной территории Союза, утвержденного решением Коллегии Евразийской экономической комиссии от 7 февраля 2018 года № 25 в автоматическом режиме;</w:t>
      </w:r>
    </w:p>
    <w:p>
      <w:pPr>
        <w:spacing w:after="120"/>
        <w:ind w:firstLine="567"/>
        <w:jc w:val="both"/>
      </w:pPr>
      <w:r>
        <w:rPr>
          <w:rFonts w:ascii="Arial" w:cs="Arial" w:eastAsia="Arial" w:hAnsi="Arial"/>
          <w:sz w:val="24"/>
          <w:szCs w:val="24"/>
        </w:rPr>
        <w:t xml:space="preserve">11) в случае выявления рисков в рамках системы управления рисками, проведение таможенного контроля с применением форм и (или) мер, обеспечивающих проведение таможенного контроля.</w:t>
      </w:r>
    </w:p>
    <w:p>
      <w:pPr>
        <w:spacing w:after="120"/>
        <w:ind w:firstLine="567"/>
        <w:jc w:val="both"/>
      </w:pPr>
      <w:r>
        <w:rPr>
          <w:rFonts w:ascii="Arial" w:cs="Arial" w:eastAsia="Arial" w:hAnsi="Arial"/>
          <w:sz w:val="24"/>
          <w:szCs w:val="24"/>
        </w:rPr>
        <w:t xml:space="preserve">33. Основаниями для отказа исполнения Стандарта 5 являются:</w:t>
      </w:r>
    </w:p>
    <w:p>
      <w:pPr>
        <w:spacing w:after="120"/>
        <w:ind w:firstLine="567"/>
        <w:jc w:val="both"/>
      </w:pPr>
      <w:r>
        <w:rPr>
          <w:rFonts w:ascii="Arial" w:cs="Arial" w:eastAsia="Arial" w:hAnsi="Arial"/>
          <w:sz w:val="24"/>
          <w:szCs w:val="24"/>
        </w:rPr>
        <w:t xml:space="preserve">1) непредставление перевозчиком необходимых документов и (или) сведений либо если представленные документы оформлены ненадлежащим образом;</w:t>
      </w:r>
    </w:p>
    <w:p>
      <w:pPr>
        <w:spacing w:after="120"/>
        <w:ind w:firstLine="567"/>
        <w:jc w:val="both"/>
      </w:pPr>
      <w:r>
        <w:rPr>
          <w:rFonts w:ascii="Arial" w:cs="Arial" w:eastAsia="Arial" w:hAnsi="Arial"/>
          <w:sz w:val="24"/>
          <w:szCs w:val="24"/>
        </w:rPr>
        <w:t xml:space="preserve">2) обнаружение признаков нарушения требований международных договоров и актов, составляющих право Евразийского экономического союза и законодательства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l8vffirdhxyt82ocecg">
      <w:r>
        <w:rPr>
          <w:rFonts w:ascii="Arial" w:cs="Arial" w:eastAsia="Arial" w:hAnsi="Arial"/>
          <w:color w:val="132D3F"/>
          <w:sz w:val="16"/>
          <w:szCs w:val="16"/>
          <w:u w:val="single"/>
        </w:rPr>
        <w:t xml:space="preserve">dalil.kg/document/230030729</w:t>
      </w:r>
    </w:hyperlink>
  </w:p>
  <w:p>
    <w:pPr>
      <w:spacing w:after="0" w:before="40"/>
      <w:jc w:val="center"/>
    </w:pPr>
    <w:hyperlink w:history="1" r:id="rIdf-uj_ueqsuh7h5rmvat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pv1hh_dl5atg60x5lqy" Type="http://schemas.openxmlformats.org/officeDocument/2006/relationships/hyperlink" Target="https://dalil.kg/document/2300307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l8vffirdhxyt82ocecg" Type="http://schemas.openxmlformats.org/officeDocument/2006/relationships/hyperlink" Target="https://dalil.kg/document/230030729" TargetMode="External"/><Relationship Id="rIdf-uj_ueqsuh7h5rmvat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2026-09-27T14:50:13.939Z</dcterms:created>
  <dcterms:modified xsi:type="dcterms:W3CDTF">2026-09-27T14:50:13.939Z</dcterms:modified>
</cp:coreProperties>
</file>

<file path=docProps/custom.xml><?xml version="1.0" encoding="utf-8"?>
<Properties xmlns="http://schemas.openxmlformats.org/officeDocument/2006/custom-properties" xmlns:vt="http://schemas.openxmlformats.org/officeDocument/2006/docPropsVTypes"/>
</file>