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30 июля 2025 года № 2025-П-12/38-3-(НПА)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 по вопросам торгового финансирования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o4i7rlfcaosglpqjrhn16">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kjwhs-d3fynjtzjhdiao9">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cllwnlh8ft8-dmb2gm4pq">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rihflrw7pno7kkeplnubf">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hyperlink w:history="1" r:id="rIdim8x4grsu2uxkyoqyzid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hyperlink w:history="1" r:id="rIddzrizmlccum3y5w_dvg23">
        <w:r>
          <w:rPr>
            <w:rFonts w:ascii="Arial" w:cs="Arial" w:eastAsia="Arial" w:hAnsi="Arial"/>
            <w:color w:val="1D4ED8"/>
            <w:sz w:val="24"/>
            <w:szCs w:val="24"/>
            <w:u w:val="single"/>
          </w:rPr>
          <w:t xml:space="preserve">от 21 июля 2004 года № 18/3</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hyperlink w:history="1" r:id="rIdl3k_gw7bzz_gbnax1n7k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w:t>
      </w:r>
      <w:hyperlink w:history="1" r:id="rIddiswxpgwrggyjpz-jjqib">
        <w:r>
          <w:rPr>
            <w:rFonts w:ascii="Arial" w:cs="Arial" w:eastAsia="Arial" w:hAnsi="Arial"/>
            <w:color w:val="1D4ED8"/>
            <w:sz w:val="24"/>
            <w:szCs w:val="24"/>
            <w:u w:val="single"/>
          </w:rPr>
          <w:t xml:space="preserve">от 28 декабря 2009 года № 51/4</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hyperlink w:history="1" r:id="rId3bh86oo7odyxehkann036">
        <w:r>
          <w:rPr>
            <w:rFonts w:ascii="Arial" w:cs="Arial" w:eastAsia="Arial" w:hAnsi="Arial"/>
            <w:color w:val="1D4ED8"/>
            <w:sz w:val="24"/>
            <w:szCs w:val="24"/>
            <w:u w:val="single"/>
          </w:rPr>
          <w:t xml:space="preserve">от 28 декабря 2009 года № 51/6</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w:t>
      </w:r>
      <w:r>
        <w:rPr>
          <w:rFonts w:ascii="Arial" w:cs="Arial" w:eastAsia="Arial" w:hAnsi="Arial"/>
          <w:sz w:val="24"/>
          <w:szCs w:val="24"/>
        </w:rPr>
        <w:t xml:space="preserve">от 12 октября 2022 года № 2022-П-12/63-1-(НПА)</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регулятивной банковской отчетности" </w:t>
      </w:r>
      <w:r>
        <w:rPr>
          <w:rFonts w:ascii="Arial" w:cs="Arial" w:eastAsia="Arial" w:hAnsi="Arial"/>
          <w:sz w:val="24"/>
          <w:szCs w:val="24"/>
        </w:rPr>
        <w:t xml:space="preserve">от 19 июля 2023 года № 2023-П-10/43-5-(НПА)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 </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 </w:t>
      </w:r>
    </w:p>
    <w:p>
      <w:pPr>
        <w:spacing w:after="120"/>
        <w:ind w:firstLine="567"/>
        <w:jc w:val="both"/>
      </w:pPr>
      <w:r>
        <w:rPr>
          <w:rFonts w:ascii="Arial" w:cs="Arial" w:eastAsia="Arial" w:hAnsi="Arial"/>
          <w:sz w:val="24"/>
          <w:szCs w:val="24"/>
        </w:rPr>
        <w:t xml:space="preserve">3. Настоящее постановление вступает в силу с 1 января 2026 года, за исключением подпунктов 2 и 3 пункта 5 </w:t>
      </w:r>
      <w:hyperlink w:history="1" r:id="rIdpsqbddxnjmttf9smbfbi2">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которые вступают в силу со дня официального опубликования настоящего постановления. </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довести настоящее постановление до сведения коммерческих банков, небанковских финансово-кредитных организаций, ОЮЛ "Союз банков Кыргызстана", ОЮЛ "Ассоциация микрофинансовых организаций", ОЮЛ "Национальная ассоциация кредитных союзов и кооперативов Кыргызстана", ОАО "Гарантийный фонд". </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со дня принятия настоящего постановления довести его до сведения управления методологии надзора, управления банковского надзора, управления надзора за небанковскими организациями и юридического управления. </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b/>
          <w:bCs/>
          <w:sz w:val="24"/>
          <w:szCs w:val="24"/>
        </w:rPr>
        <w:t xml:space="preserve">председателя </w:t>
      </w:r>
      <w:r>
        <w:rPr>
          <w:rFonts w:ascii="Arial" w:cs="Arial" w:eastAsia="Arial" w:hAnsi="Arial"/>
          <w:sz w:val="24"/>
          <w:szCs w:val="24"/>
        </w:rPr>
        <w:t xml:space="preserve">	</w:t>
      </w:r>
      <w:r>
        <w:rPr>
          <w:rFonts w:ascii="Arial" w:cs="Arial" w:eastAsia="Arial" w:hAnsi="Arial"/>
          <w:b/>
          <w:bCs/>
          <w:sz w:val="24"/>
          <w:szCs w:val="24"/>
        </w:rPr>
        <w:t xml:space="preserve">М. Аттокуров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30 июля 2025 года № 2025-П-12/38-3-(НПА)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 по вопросам торгового финансирования</w:t>
      </w:r>
    </w:p>
    <w:p>
      <w:pPr>
        <w:spacing w:after="120"/>
        <w:ind w:firstLine="567"/>
        <w:jc w:val="both"/>
      </w:pPr>
      <w:r>
        <w:rPr>
          <w:rFonts w:ascii="Arial" w:cs="Arial" w:eastAsia="Arial" w:hAnsi="Arial"/>
          <w:sz w:val="24"/>
          <w:szCs w:val="24"/>
        </w:rPr>
        <w:t xml:space="preserve">1. Внести в </w:t>
      </w:r>
      <w:hyperlink w:history="1" r:id="rId85paa1dpsghzvb60viu5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ysoy-ecs6akw85uqkpkb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следующее изменение:</w:t>
      </w:r>
    </w:p>
    <w:p>
      <w:pPr>
        <w:spacing w:after="120"/>
        <w:ind w:firstLine="567"/>
        <w:jc w:val="both"/>
      </w:pPr>
      <w:r>
        <w:rPr>
          <w:rFonts w:ascii="Arial" w:cs="Arial" w:eastAsia="Arial" w:hAnsi="Arial"/>
          <w:sz w:val="24"/>
          <w:szCs w:val="24"/>
        </w:rPr>
        <w:t xml:space="preserve">в </w:t>
      </w:r>
      <w:hyperlink w:history="1" r:id="rIdno17yu94ofkhlzwufjqv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ubwjgy3krnq5as3ecja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12.1 дополнить абзацем следующего содержания: </w:t>
      </w:r>
    </w:p>
    <w:p>
      <w:pPr>
        <w:spacing w:after="120"/>
        <w:ind w:firstLine="567"/>
        <w:jc w:val="both"/>
      </w:pPr>
      <w:r>
        <w:rPr>
          <w:rFonts w:ascii="Arial" w:cs="Arial" w:eastAsia="Arial" w:hAnsi="Arial"/>
          <w:sz w:val="24"/>
          <w:szCs w:val="24"/>
        </w:rPr>
        <w:t xml:space="preserve">"Банки могут классифицировать забалансовые обязательства независимо от валюты выдачи в категории "нормальные", если они соответствуют условиям, указанным в подпункте 1 пункта 30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12 октября 2022 года № 2022-П-12/63-1-(НПА).".</w:t>
      </w:r>
    </w:p>
    <w:p>
      <w:pPr>
        <w:spacing w:after="120"/>
        <w:ind w:firstLine="567"/>
        <w:jc w:val="both"/>
      </w:pPr>
      <w:r>
        <w:rPr>
          <w:rFonts w:ascii="Arial" w:cs="Arial" w:eastAsia="Arial" w:hAnsi="Arial"/>
          <w:sz w:val="24"/>
          <w:szCs w:val="24"/>
        </w:rPr>
        <w:t xml:space="preserve">2. Внести в </w:t>
      </w:r>
      <w:hyperlink w:history="1" r:id="rId06iqglhnwj__c6w51tb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igompgij5poivuriuzg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следующее изменение: </w:t>
      </w:r>
    </w:p>
    <w:p>
      <w:pPr>
        <w:spacing w:after="120"/>
        <w:ind w:firstLine="567"/>
        <w:jc w:val="both"/>
      </w:pPr>
      <w:r>
        <w:rPr>
          <w:rFonts w:ascii="Arial" w:cs="Arial" w:eastAsia="Arial" w:hAnsi="Arial"/>
          <w:sz w:val="24"/>
          <w:szCs w:val="24"/>
        </w:rPr>
        <w:t xml:space="preserve">в </w:t>
      </w:r>
      <w:hyperlink w:history="1" r:id="rIdu67y-a-f-9q2j9gxyvg9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вышеуказанным </w:t>
      </w:r>
      <w:hyperlink w:history="1" r:id="rId5binhtgondobkwx7e77-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29 изложить в следующей редакции: </w:t>
      </w:r>
    </w:p>
    <w:p>
      <w:pPr>
        <w:spacing w:after="120"/>
        <w:ind w:firstLine="567"/>
        <w:jc w:val="both"/>
      </w:pPr>
      <w:r>
        <w:rPr>
          <w:rFonts w:ascii="Arial" w:cs="Arial" w:eastAsia="Arial" w:hAnsi="Arial"/>
          <w:sz w:val="24"/>
          <w:szCs w:val="24"/>
        </w:rPr>
        <w:t xml:space="preserve">"29. Настоящей Инструкцией определяются следующие процентные размеры факторов кредитной конверсии для забалансовых обязательств: </w:t>
      </w:r>
    </w:p>
    <w:p>
      <w:pPr>
        <w:spacing w:after="120"/>
        <w:ind w:firstLine="567"/>
        <w:jc w:val="both"/>
      </w:pPr>
      <w:r>
        <w:rPr>
          <w:rFonts w:ascii="Arial" w:cs="Arial" w:eastAsia="Arial" w:hAnsi="Arial"/>
          <w:sz w:val="24"/>
          <w:szCs w:val="24"/>
        </w:rPr>
        <w:t xml:space="preserve">1) фактор кредитной конверсии - 10%: </w:t>
      </w:r>
    </w:p>
    <w:p>
      <w:pPr>
        <w:spacing w:after="120"/>
        <w:ind w:firstLine="567"/>
        <w:jc w:val="both"/>
      </w:pPr>
      <w:r>
        <w:rPr>
          <w:rFonts w:ascii="Arial" w:cs="Arial" w:eastAsia="Arial" w:hAnsi="Arial"/>
          <w:sz w:val="24"/>
          <w:szCs w:val="24"/>
        </w:rPr>
        <w:t xml:space="preserve">- забалансовые обязательства, по которым банк имеет право безусловного отзыва/аннулирования в любое время без предварительного уведомления клиента; </w:t>
      </w:r>
    </w:p>
    <w:p>
      <w:pPr>
        <w:spacing w:after="120"/>
        <w:ind w:firstLine="567"/>
        <w:jc w:val="both"/>
      </w:pPr>
      <w:r>
        <w:rPr>
          <w:rFonts w:ascii="Arial" w:cs="Arial" w:eastAsia="Arial" w:hAnsi="Arial"/>
          <w:sz w:val="24"/>
          <w:szCs w:val="24"/>
        </w:rPr>
        <w:t xml:space="preserve">2) фактор кредитной конверсии - 20% при соблюдении всех следующих условий одновременно: </w:t>
      </w:r>
    </w:p>
    <w:p>
      <w:pPr>
        <w:spacing w:after="120"/>
        <w:ind w:firstLine="567"/>
        <w:jc w:val="both"/>
      </w:pPr>
      <w:r>
        <w:rPr>
          <w:rFonts w:ascii="Arial" w:cs="Arial" w:eastAsia="Arial" w:hAnsi="Arial"/>
          <w:sz w:val="24"/>
          <w:szCs w:val="24"/>
        </w:rPr>
        <w:t xml:space="preserve">а) срок забалансового обязательства не превышает один год; </w:t>
      </w:r>
    </w:p>
    <w:p>
      <w:pPr>
        <w:spacing w:after="120"/>
        <w:ind w:firstLine="567"/>
        <w:jc w:val="both"/>
      </w:pPr>
      <w:r>
        <w:rPr>
          <w:rFonts w:ascii="Arial" w:cs="Arial" w:eastAsia="Arial" w:hAnsi="Arial"/>
          <w:sz w:val="24"/>
          <w:szCs w:val="24"/>
        </w:rPr>
        <w:t xml:space="preserve">б) забалансовое обязательство имеет прямую и непосредственную связь с поставкой или закупкой товаров или услуг в рамках международной торговли; </w:t>
      </w:r>
    </w:p>
    <w:p>
      <w:pPr>
        <w:spacing w:after="120"/>
        <w:ind w:firstLine="567"/>
        <w:jc w:val="both"/>
      </w:pPr>
      <w:r>
        <w:rPr>
          <w:rFonts w:ascii="Arial" w:cs="Arial" w:eastAsia="Arial" w:hAnsi="Arial"/>
          <w:sz w:val="24"/>
          <w:szCs w:val="24"/>
        </w:rPr>
        <w:t xml:space="preserve">в) по своей природе забалансовое обязательство является самоликвидирующимся, и его погашение или исполнение обусловлено предоставлением документов, относящихся к базовой торговой сделке; </w:t>
      </w:r>
    </w:p>
    <w:p>
      <w:pPr>
        <w:spacing w:after="120"/>
        <w:ind w:firstLine="567"/>
        <w:jc w:val="both"/>
      </w:pPr>
      <w:r>
        <w:rPr>
          <w:rFonts w:ascii="Arial" w:cs="Arial" w:eastAsia="Arial" w:hAnsi="Arial"/>
          <w:sz w:val="24"/>
          <w:szCs w:val="24"/>
        </w:rPr>
        <w:t xml:space="preserve">г) операция структурирована в соответствии с общепринятыми международными правилами и практикой в области торгового финансирования; </w:t>
      </w:r>
    </w:p>
    <w:p>
      <w:pPr>
        <w:spacing w:after="120"/>
        <w:ind w:firstLine="567"/>
        <w:jc w:val="both"/>
      </w:pPr>
      <w:r>
        <w:rPr>
          <w:rFonts w:ascii="Arial" w:cs="Arial" w:eastAsia="Arial" w:hAnsi="Arial"/>
          <w:sz w:val="24"/>
          <w:szCs w:val="24"/>
        </w:rPr>
        <w:t xml:space="preserve">3) фактор кредитной конверсии - 50%: </w:t>
      </w:r>
    </w:p>
    <w:p>
      <w:pPr>
        <w:spacing w:after="120"/>
        <w:ind w:firstLine="567"/>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 </w:t>
      </w:r>
    </w:p>
    <w:p>
      <w:pPr>
        <w:spacing w:after="120"/>
        <w:ind w:firstLine="567"/>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 </w:t>
      </w:r>
    </w:p>
    <w:p>
      <w:pPr>
        <w:spacing w:after="120"/>
        <w:ind w:firstLine="567"/>
        <w:jc w:val="both"/>
      </w:pPr>
      <w:r>
        <w:rPr>
          <w:rFonts w:ascii="Arial" w:cs="Arial" w:eastAsia="Arial" w:hAnsi="Arial"/>
          <w:sz w:val="24"/>
          <w:szCs w:val="24"/>
        </w:rPr>
        <w:t xml:space="preserve">4) фактор кредитной конверсии - 100%: </w:t>
      </w:r>
    </w:p>
    <w:p>
      <w:pPr>
        <w:spacing w:after="120"/>
        <w:ind w:firstLine="567"/>
        <w:jc w:val="both"/>
      </w:pPr>
      <w:r>
        <w:rPr>
          <w:rFonts w:ascii="Arial" w:cs="Arial" w:eastAsia="Arial" w:hAnsi="Arial"/>
          <w:sz w:val="24"/>
          <w:szCs w:val="24"/>
        </w:rPr>
        <w:t xml:space="preserve">а) обязательства по предоставлению актива; </w:t>
      </w:r>
    </w:p>
    <w:p>
      <w:pPr>
        <w:spacing w:after="120"/>
        <w:ind w:firstLine="567"/>
        <w:jc w:val="both"/>
      </w:pPr>
      <w:r>
        <w:rPr>
          <w:rFonts w:ascii="Arial" w:cs="Arial" w:eastAsia="Arial" w:hAnsi="Arial"/>
          <w:sz w:val="24"/>
          <w:szCs w:val="24"/>
        </w:rPr>
        <w:t xml:space="preserve">б) кредитные заменители (например, общие гарантии,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договорному соглашению или подобным образом; </w:t>
      </w:r>
    </w:p>
    <w:p>
      <w:pPr>
        <w:spacing w:after="120"/>
        <w:ind w:firstLine="567"/>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 </w:t>
      </w:r>
    </w:p>
    <w:p>
      <w:pPr>
        <w:spacing w:after="120"/>
        <w:ind w:firstLine="567"/>
        <w:jc w:val="both"/>
      </w:pPr>
      <w:r>
        <w:rPr>
          <w:rFonts w:ascii="Arial" w:cs="Arial" w:eastAsia="Arial" w:hAnsi="Arial"/>
          <w:sz w:val="24"/>
          <w:szCs w:val="24"/>
        </w:rPr>
        <w:t xml:space="preserve">г) обязательства по покупке активов; </w:t>
      </w:r>
    </w:p>
    <w:p>
      <w:pPr>
        <w:spacing w:after="120"/>
        <w:ind w:firstLine="567"/>
        <w:jc w:val="both"/>
      </w:pPr>
      <w:r>
        <w:rPr>
          <w:rFonts w:ascii="Arial" w:cs="Arial" w:eastAsia="Arial" w:hAnsi="Arial"/>
          <w:sz w:val="24"/>
          <w:szCs w:val="24"/>
        </w:rPr>
        <w:t xml:space="preserve">д) прочие забалансовые обязательства, не вошедшие в предыдущие категории.".</w:t>
      </w:r>
    </w:p>
    <w:p>
      <w:pPr>
        <w:spacing w:after="120"/>
        <w:ind w:firstLine="567"/>
        <w:jc w:val="both"/>
      </w:pPr>
      <w:r>
        <w:rPr>
          <w:rFonts w:ascii="Arial" w:cs="Arial" w:eastAsia="Arial" w:hAnsi="Arial"/>
          <w:sz w:val="24"/>
          <w:szCs w:val="24"/>
        </w:rPr>
        <w:t xml:space="preserve">3. Внести в </w:t>
      </w:r>
      <w:hyperlink w:history="1" r:id="rIdl9pdhoe41qtwnm6lrg-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 следующее изменение: </w:t>
      </w:r>
    </w:p>
    <w:p>
      <w:pPr>
        <w:spacing w:after="120"/>
        <w:ind w:firstLine="567"/>
        <w:jc w:val="both"/>
      </w:pPr>
      <w:r>
        <w:rPr>
          <w:rFonts w:ascii="Arial" w:cs="Arial" w:eastAsia="Arial" w:hAnsi="Arial"/>
          <w:sz w:val="24"/>
          <w:szCs w:val="24"/>
        </w:rPr>
        <w:t xml:space="preserve">в </w:t>
      </w:r>
      <w:hyperlink w:history="1" r:id="rId6y2qsbkc2xxtts8dnxuu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утвержденном вышеуказанным </w:t>
      </w:r>
      <w:hyperlink w:history="1" r:id="rIdsqzecwc5axe2cefpolf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42 дополнить абзацем следующего содержания: </w:t>
      </w:r>
    </w:p>
    <w:p>
      <w:pPr>
        <w:spacing w:after="120"/>
        <w:ind w:firstLine="567"/>
        <w:jc w:val="both"/>
      </w:pPr>
      <w:r>
        <w:rPr>
          <w:rFonts w:ascii="Arial" w:cs="Arial" w:eastAsia="Arial" w:hAnsi="Arial"/>
          <w:sz w:val="24"/>
          <w:szCs w:val="24"/>
        </w:rPr>
        <w:t xml:space="preserve">"Банки могут классифицировать забалансовые обязательства независимо от валюты выдачи в категории "нормальные", если они соответствуют условиям фактора кредитной конверсии в размере 20%, указанным в пункте 29 </w:t>
      </w:r>
      <w:hyperlink w:history="1" r:id="rIdz3d2koqrwue-iqnl1c8o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w:t>
      </w:r>
      <w:hyperlink w:history="1" r:id="rIdcbnznm5cxqrf6-bm9gp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28 декабря 2009 г. № 51/4.".</w:t>
      </w:r>
    </w:p>
    <w:p>
      <w:pPr>
        <w:spacing w:after="120"/>
        <w:ind w:firstLine="567"/>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12 октября 2022 года № 2022-П-12/63-1-(НПА) следующие изменения: </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пункт 30 изложить в следующей редакции: </w:t>
      </w:r>
    </w:p>
    <w:p>
      <w:pPr>
        <w:spacing w:after="120"/>
        <w:ind w:firstLine="567"/>
        <w:jc w:val="both"/>
      </w:pPr>
      <w:r>
        <w:rPr>
          <w:rFonts w:ascii="Arial" w:cs="Arial" w:eastAsia="Arial" w:hAnsi="Arial"/>
          <w:sz w:val="24"/>
          <w:szCs w:val="24"/>
        </w:rPr>
        <w:t xml:space="preserve">"30. Настоящей </w:t>
      </w:r>
      <w:r>
        <w:rPr>
          <w:rFonts w:ascii="Arial" w:cs="Arial" w:eastAsia="Arial" w:hAnsi="Arial"/>
          <w:sz w:val="24"/>
          <w:szCs w:val="24"/>
        </w:rPr>
        <w:t xml:space="preserve">Инструкцией</w:t>
      </w:r>
      <w:r>
        <w:rPr>
          <w:rFonts w:ascii="Arial" w:cs="Arial" w:eastAsia="Arial" w:hAnsi="Arial"/>
          <w:sz w:val="24"/>
          <w:szCs w:val="24"/>
        </w:rPr>
        <w:t xml:space="preserve"> определяются следующие процентные размеры факторов кредитной конверсии для забалансовых обязательств: </w:t>
      </w:r>
    </w:p>
    <w:p>
      <w:pPr>
        <w:spacing w:after="120"/>
        <w:ind w:firstLine="567"/>
        <w:jc w:val="both"/>
      </w:pPr>
      <w:r>
        <w:rPr>
          <w:rFonts w:ascii="Arial" w:cs="Arial" w:eastAsia="Arial" w:hAnsi="Arial"/>
          <w:sz w:val="24"/>
          <w:szCs w:val="24"/>
        </w:rPr>
        <w:t xml:space="preserve">1) низкий риск (фактор кредитной конверсии - 20%) при соблюдении всех следующих условий одновременно: </w:t>
      </w:r>
    </w:p>
    <w:p>
      <w:pPr>
        <w:spacing w:after="120"/>
        <w:ind w:firstLine="567"/>
        <w:jc w:val="both"/>
      </w:pPr>
      <w:r>
        <w:rPr>
          <w:rFonts w:ascii="Arial" w:cs="Arial" w:eastAsia="Arial" w:hAnsi="Arial"/>
          <w:sz w:val="24"/>
          <w:szCs w:val="24"/>
        </w:rPr>
        <w:t xml:space="preserve">а) срок забалансового обязательства не превышает один год; </w:t>
      </w:r>
    </w:p>
    <w:p>
      <w:pPr>
        <w:spacing w:after="120"/>
        <w:ind w:firstLine="567"/>
        <w:jc w:val="both"/>
      </w:pPr>
      <w:r>
        <w:rPr>
          <w:rFonts w:ascii="Arial" w:cs="Arial" w:eastAsia="Arial" w:hAnsi="Arial"/>
          <w:sz w:val="24"/>
          <w:szCs w:val="24"/>
        </w:rPr>
        <w:t xml:space="preserve">б) забалансовое обязательство имеет прямую и непосредственную связь с поставкой или закупкой товаров или услуг в рамках международной торговли; </w:t>
      </w:r>
    </w:p>
    <w:p>
      <w:pPr>
        <w:spacing w:after="120"/>
        <w:ind w:firstLine="567"/>
        <w:jc w:val="both"/>
      </w:pPr>
      <w:r>
        <w:rPr>
          <w:rFonts w:ascii="Arial" w:cs="Arial" w:eastAsia="Arial" w:hAnsi="Arial"/>
          <w:sz w:val="24"/>
          <w:szCs w:val="24"/>
        </w:rPr>
        <w:t xml:space="preserve">в) по своей природе забалансовое обязательство является самоликвидирующимся, и его погашение или исполнение обусловлено предоставлением документов, относящихся к базовой торговой сделке; </w:t>
      </w:r>
    </w:p>
    <w:p>
      <w:pPr>
        <w:spacing w:after="120"/>
        <w:ind w:firstLine="567"/>
        <w:jc w:val="both"/>
      </w:pPr>
      <w:r>
        <w:rPr>
          <w:rFonts w:ascii="Arial" w:cs="Arial" w:eastAsia="Arial" w:hAnsi="Arial"/>
          <w:sz w:val="24"/>
          <w:szCs w:val="24"/>
        </w:rPr>
        <w:t xml:space="preserve">г) операция структурирована в соответствии с общепринятыми международными правилами и практикой в области торгового финансирования; </w:t>
      </w:r>
    </w:p>
    <w:p>
      <w:pPr>
        <w:spacing w:after="120"/>
        <w:ind w:firstLine="567"/>
        <w:jc w:val="both"/>
      </w:pPr>
      <w:r>
        <w:rPr>
          <w:rFonts w:ascii="Arial" w:cs="Arial" w:eastAsia="Arial" w:hAnsi="Arial"/>
          <w:sz w:val="24"/>
          <w:szCs w:val="24"/>
        </w:rPr>
        <w:t xml:space="preserve">2) средний риск (фактор кредитной конверсии - 50%): </w:t>
      </w:r>
    </w:p>
    <w:p>
      <w:pPr>
        <w:spacing w:after="120"/>
        <w:ind w:firstLine="567"/>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 </w:t>
      </w:r>
    </w:p>
    <w:p>
      <w:pPr>
        <w:spacing w:after="120"/>
        <w:ind w:firstLine="567"/>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 </w:t>
      </w:r>
    </w:p>
    <w:p>
      <w:pPr>
        <w:spacing w:after="120"/>
        <w:ind w:firstLine="567"/>
        <w:jc w:val="both"/>
      </w:pPr>
      <w:r>
        <w:rPr>
          <w:rFonts w:ascii="Arial" w:cs="Arial" w:eastAsia="Arial" w:hAnsi="Arial"/>
          <w:sz w:val="24"/>
          <w:szCs w:val="24"/>
        </w:rPr>
        <w:t xml:space="preserve">3) полный риск (фактор кредитной конверсии - 100%):</w:t>
      </w:r>
    </w:p>
    <w:p>
      <w:pPr>
        <w:spacing w:after="120"/>
        <w:ind w:firstLine="567"/>
        <w:jc w:val="both"/>
      </w:pPr>
      <w:r>
        <w:rPr>
          <w:rFonts w:ascii="Arial" w:cs="Arial" w:eastAsia="Arial" w:hAnsi="Arial"/>
          <w:sz w:val="24"/>
          <w:szCs w:val="24"/>
        </w:rPr>
        <w:t xml:space="preserve">а) обязательства на выдачу кредитов; </w:t>
      </w:r>
    </w:p>
    <w:p>
      <w:pPr>
        <w:spacing w:after="120"/>
        <w:ind w:firstLine="567"/>
        <w:jc w:val="both"/>
      </w:pPr>
      <w:r>
        <w:rPr>
          <w:rFonts w:ascii="Arial" w:cs="Arial" w:eastAsia="Arial" w:hAnsi="Arial"/>
          <w:sz w:val="24"/>
          <w:szCs w:val="24"/>
        </w:rPr>
        <w:t xml:space="preserve">б) прямые кредитные заменители (например, общие гарантии по кредитам,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контрактному соглашению или подобным образом; </w:t>
      </w:r>
    </w:p>
    <w:p>
      <w:pPr>
        <w:spacing w:after="120"/>
        <w:ind w:firstLine="567"/>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 </w:t>
      </w:r>
    </w:p>
    <w:p>
      <w:pPr>
        <w:spacing w:after="120"/>
        <w:ind w:firstLine="567"/>
        <w:jc w:val="both"/>
      </w:pPr>
      <w:r>
        <w:rPr>
          <w:rFonts w:ascii="Arial" w:cs="Arial" w:eastAsia="Arial" w:hAnsi="Arial"/>
          <w:sz w:val="24"/>
          <w:szCs w:val="24"/>
        </w:rPr>
        <w:t xml:space="preserve">г) обязательства по покупке активов; </w:t>
      </w:r>
    </w:p>
    <w:p>
      <w:pPr>
        <w:spacing w:after="120"/>
        <w:ind w:firstLine="567"/>
        <w:jc w:val="both"/>
      </w:pPr>
      <w:r>
        <w:rPr>
          <w:rFonts w:ascii="Arial" w:cs="Arial" w:eastAsia="Arial" w:hAnsi="Arial"/>
          <w:sz w:val="24"/>
          <w:szCs w:val="24"/>
        </w:rPr>
        <w:t xml:space="preserve">д) все прочие забалансовые обязательства, не вошедшие в предыдущие категории.";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Приложение</w:t>
      </w:r>
      <w:r>
        <w:rPr>
          <w:rFonts w:ascii="Arial" w:cs="Arial" w:eastAsia="Arial" w:hAnsi="Arial"/>
          <w:sz w:val="24"/>
          <w:szCs w:val="24"/>
        </w:rPr>
        <w:t xml:space="preserve"> к Инструкции изложить в следующей редакции: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w:t>
      </w:r>
      <w:r>
        <w:rPr>
          <w:rFonts w:ascii="Arial" w:cs="Arial" w:eastAsia="Arial" w:hAnsi="Arial"/>
          <w:sz w:val="24"/>
          <w:szCs w:val="24"/>
        </w:rPr>
        <w:t xml:space="preserve">к Инструкции по определению стандартов достаточности (адекватности) капитала коммерческих банков Кыргызской Республики, утвержденной постановлением Правления Национального банка Кыргызской Республики
 от 12 октября 2022 года № 2022-П-12/63-1-(НПА)</w:t>
      </w:r>
    </w:p>
    <w:p>
      <w:pPr>
        <w:spacing w:after="240" w:before="200"/>
        <w:jc w:val="center"/>
      </w:pPr>
      <w:r>
        <w:rPr>
          <w:rFonts w:ascii="Arial" w:cs="Arial" w:eastAsia="Arial" w:hAnsi="Arial"/>
          <w:b/>
          <w:bCs/>
          <w:sz w:val="32"/>
          <w:szCs w:val="32"/>
        </w:rPr>
        <w:t xml:space="preserve">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4654"/>
        <w:gridCol w:w="1149"/>
        <w:gridCol w:w="1880"/>
        <w:gridCol w:w="1545"/>
      </w:tblGrid>
      <w:tr>
        <w:tc>
          <w:tcPr>
            <w:tcW w:type="dxa" w:w="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и монеты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активы в расчетах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Кыргызской Республики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в иностранных банках,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 и другие драгоценные металлы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депозиты в коммерческих банках Кыргызской Республики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депозиты в банках и финансовых организациях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депозиты в иностранных банках и финансовых организациях,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межбанковские размещения до 7 дней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РЕПО-соглашениям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ПОРТФЕЛЬ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4654"/>
        <w:gridCol w:w="1149"/>
        <w:gridCol w:w="1880"/>
        <w:gridCol w:w="1545"/>
      </w:tblGrid>
      <w:tr>
        <w:tc>
          <w:tcPr>
            <w:tcW w:type="dxa" w:w="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правительством КР и/или НБКР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местными органами власти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Правительствами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иностранными правительствами стран, кроме правительств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 кыргызских компаний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 компаний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 иностранных компаний,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кыргызских компаний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банков и других финансово-кредитных организаций КР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компаний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банков и других финансово-кредитных организаций стран СНГ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компаний КР и стран СНГ, не подлежащие амортизации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банков и других финансово-кредитных организаций КР и стран СНГ, не подлежащие амортизации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компаний,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банков и других финансово-кредитных организаций, кроме стран СНГ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КРЕДИТЫ И ЛИЗИНГИ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4654"/>
        <w:gridCol w:w="1149"/>
        <w:gridCol w:w="1880"/>
        <w:gridCol w:w="1545"/>
      </w:tblGrid>
      <w:tr>
        <w:tc>
          <w:tcPr>
            <w:tcW w:type="dxa" w:w="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Кыргызской Республики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и финансовым организациям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иностранным банкам и финансовым организациям,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негосударственному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физическим лицам для личных целей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негосударственному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физическим лицам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негосударственному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физическим лицам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капитальную аренду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361.9</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банках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финансовых организациях, кроме банков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нефинансовых организациях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прочих активов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(сумма ст.10-430)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1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1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2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3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4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5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6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7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8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9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вычетов из капитала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ЗАБАЛАНСОВЫЕ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2"/>
        <w:gridCol w:w="3405"/>
        <w:gridCol w:w="1114"/>
        <w:gridCol w:w="1562"/>
        <w:gridCol w:w="1542"/>
        <w:gridCol w:w="1603"/>
      </w:tblGrid>
      <w:tr>
        <w:tc>
          <w:tcPr>
            <w:tcW w:type="dxa" w:w="9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5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Фактор кредитной конверсии, %</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на выдачу кредитов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гарантии по кредитам и ценным бумагам, резервные аккредитивы и гарантии по акцептованию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 в рамках международной торговли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конкретными сделками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 связанные с торговыми сделками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 продаже с последующим выкупом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покупке активов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операции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процентной ставкой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забалансовые обязательства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ст.540-620)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специальных резервов на покрытие потенциальных и лизинговых потерь и убытков (далее - специальный резерв на покрытие убытков)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балансовым активам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забалансовым обязательствам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и забалансовых обязательств, взвешенных по степени риска, за вычетом резервов на покрытие убытков (ст.440 плюс ст.630 минус 640)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СУБОРДИНИРОВАННЫЙ ДОЛГ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
        <w:gridCol w:w="4791"/>
        <w:gridCol w:w="1384"/>
        <w:gridCol w:w="972"/>
        <w:gridCol w:w="2433"/>
      </w:tblGrid>
      <w:tr>
        <w:tc>
          <w:tcPr>
            <w:tcW w:type="dxa" w:w="5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7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3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9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w:t>
            </w:r>
          </w:p>
        </w:tc>
        <w:tc>
          <w:tcPr>
            <w:tcW w:type="dxa" w:w="2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Бессрочный субординированный долг</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более 5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4 до 5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3 до 4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2 до 3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1 до 2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менее 1 года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КАПИТАЛ И КОЭФФИЦИЕНТЫ ДОСТАТОЧНОСТИ (АДЕКВАТНОСТИ)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8549"/>
        <w:gridCol w:w="925"/>
      </w:tblGrid>
      <w:tr>
        <w:tc>
          <w:tcPr>
            <w:tcW w:type="dxa" w:w="70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854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Статьи</w:t>
            </w:r>
          </w:p>
        </w:tc>
        <w:tc>
          <w:tcPr>
            <w:tcW w:type="dxa" w:w="92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Сумма</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Базовый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Простые акции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Привилегированные некуммулятивные акции (приемлемые для включения в Базовый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 внесенный сверх номинала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770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Резервы для будущих потребностей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780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Нераспределенная прибыль (убытки) прошлых лет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790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Убытки текущего года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Нематериальные активы (ст.430.1)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Инвестиции в неконсолидированные банки, финансово-кредитные организации и небанковские финансово-кредитные организации (ст. 200.1, 210.1, 220.1, 230.1, ст.390, ст.400)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820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Отсроченные налоговые активы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830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Прямые или косвенные инвестиции в собственные акции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Базовый капитал Первого уровня (сумма ст.740-830)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Дополнительный капитал, внесенный физическими и юридическими лицами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Привилегированные акции (неприемлемые для включения в Базовый капитал Первого уровня) и сумма, внесенная выше их номинальной стоимости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870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инструменты капитала (ст.660)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880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890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Дополнительный капитал Первого уровня (сумма ст.820-860)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капитал Первого уровня (сумма ст.840 и ст.900)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 Второго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920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Прибыль текущего года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930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Общие резервы (приемлемые для включения)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Резервы по переоценке ценных бумаг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Резервы по пересчету иностранной валюты при консолидации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на выравнивание прибыли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970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на покрытие рисков по инвестициям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980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990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1010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1020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Капитал Второго уровня (сумма ст.920-1010)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1030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чистый суммарный капитал (сумма ст.910 и ст.1020)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достаточности (адекватности) суммарного капитала (ст.1030/ст.650)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достаточности (адекватности) капитала Первого уровня (ст.910/ст.650)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достаточности (адекватности) Базового капитала Первого уровня (ст.840/ст.650)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Справочно: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Собственные средства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регулятивной банковской отчетности" от 19 июля 2023 года № 2023-П-10/43-5-(НПА) следующие изменения: в </w:t>
      </w:r>
      <w:r>
        <w:rPr>
          <w:rFonts w:ascii="Arial" w:cs="Arial" w:eastAsia="Arial" w:hAnsi="Arial"/>
          <w:sz w:val="24"/>
          <w:szCs w:val="24"/>
        </w:rPr>
        <w:t xml:space="preserve">Положении</w:t>
      </w:r>
      <w:r>
        <w:rPr>
          <w:rFonts w:ascii="Arial" w:cs="Arial" w:eastAsia="Arial" w:hAnsi="Arial"/>
          <w:sz w:val="24"/>
          <w:szCs w:val="24"/>
        </w:rPr>
        <w:t xml:space="preserve"> "О регулятивной банковской отчетности",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1) </w:t>
      </w:r>
      <w:r>
        <w:rPr>
          <w:rFonts w:ascii="Arial" w:cs="Arial" w:eastAsia="Arial" w:hAnsi="Arial"/>
          <w:sz w:val="24"/>
          <w:szCs w:val="24"/>
        </w:rPr>
        <w:t xml:space="preserve">Приложение 2</w:t>
      </w:r>
      <w:r>
        <w:rPr>
          <w:rFonts w:ascii="Arial" w:cs="Arial" w:eastAsia="Arial" w:hAnsi="Arial"/>
          <w:sz w:val="24"/>
          <w:szCs w:val="24"/>
        </w:rPr>
        <w:t xml:space="preserve"> отчета "Раздел 4. Пруденциальные отчеты. Подраздел 4.1.1. Взвешивание по степени кредитного риска" изложить в следующей редакции: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"2-тиркеме/</w:t>
      </w: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7"/>
        <w:gridCol w:w="6061"/>
      </w:tblGrid>
      <w:tr>
        <w:tc>
          <w:tcPr>
            <w:tcW w:type="dxa" w:w="41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Отчет/Отчет:</w:t>
            </w:r>
          </w:p>
        </w:tc>
        <w:tc>
          <w:tcPr>
            <w:tcW w:type="dxa" w:w="60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4-бөлүк. Пруденциалдык отчеттор. 4.1.1-бөлүкчө. Кредиттик тобокелдик деңгээли боюнча баалоо/
 Раздел 4. Пруденциальные отчеты. Подраздел 4.1.1. Взвешивание по степени кредитного риска</w:t>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Субъекттин аталышы/Наименование субъекта: </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Карата/По состоянию на: </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Мезгилдүүлүгү/Периодичность: </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АКТИВДЕР/АКТИВЫ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4692"/>
        <w:gridCol w:w="1131"/>
        <w:gridCol w:w="1863"/>
        <w:gridCol w:w="1603"/>
      </w:tblGrid>
      <w:tr>
        <w:tc>
          <w:tcPr>
            <w:tcW w:type="dxa" w:w="8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1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8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Банкноттор жана монеталар/Банкноты и монеты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Эсептөөдөгү акча активдери/Денежные активы в расчетах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Улуттук банктагы корреспонденттик эсеп/Корреспондентский счет в НБКР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Республикасындагы коммерциялык банктардагы корреспонденттик эсептер/Корреспондентские счета в коммерческих банках Кыргызской Республики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коммерциялык банктарындагы корреспонденттик эсептер/Корреспондентские счета в коммерческих банках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 банктарындагы корреспонденттик эсептер/Корреспондентские счета в иностранных банках, кроме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Алтын жана башка баалуу металлдар/Золото и другие драгоценные металлы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коммерциялык банктарындагы банктар аралык депозиттер/Межбанковские депозиты в коммерческих банках Кыргызской Республики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банктарындагы жана финансы уюмдарындагы банктар аралык депозиттер/Межбанковские депозиты в банках и финансовых организациях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банктардагы жана финансы уюмдарындагы банктар аралык депозиттер/Межбанковские депозиты в иностранных банках и финансовых организациях, кроме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күнгө чейинки кыска мөөнөттүү банктар аралык жайгаштыруулар/Краткосрочные межбанковские размещения до 7 дней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РЕПО макулдашуулар боюнча операциялар/Операции по РЕПО-соглашениям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БААЛУУ КАГАЗДАР ПОРТФЕЛИ/ПОРТФЕЛЬ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
        <w:gridCol w:w="4673"/>
        <w:gridCol w:w="1159"/>
        <w:gridCol w:w="1968"/>
        <w:gridCol w:w="1609"/>
      </w:tblGrid>
      <w:tr>
        <w:tc>
          <w:tcPr>
            <w:tcW w:type="dxa" w:w="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1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9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c>
          <w:tcPr>
            <w:tcW w:type="dxa" w:w="16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Өкмөтү жана/же Улуттук банк тарабынан чыгарылган баалуу кагаздар/Ценные бумаги, выпущенные правительством КР и/или НБКР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Жергиликтүү бийлик органдары тарабынан чыгарылган баалуу кагаздар/Ценные бумаги, выпущенные местными органами власти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өкмөттөрү тарабынан чыгарылган баалуу кагаздар/Ценные бумаги, выпущенные правительствами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өкмөттөрүнөн тышкары,чет өлкөлөрдүн өкмөттөрү тарабынан чыгарылган баалуу кагаздар/Ценные бумаги, выпущенные иностранными правительствами стран, кроме правительств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Кыргызстандын компанияларынын карыздык баалуу кагаздары/Долговые ценные бумаги кыргызских компаний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компанияларынын карыздык баалуу кагаздары/Долговые ценные бумаги компаний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өлкөлүк компаниялардын карыздык баалуу кагаздары/Долговые ценные бумаги иностранных компаний, кроме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Кыргызстандын компанияларынын капиталдык баалуу кагаздары/Капитальные ценные бумаги кыргызских компаний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банктарынын жана башка финансы-кредит уюмдарынын капиталдык баалуу кагаздары/Капитальные ценные бумаги банков и других финансово-кредитных организаций КР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компанияларынын капиталдык баалуу кагаздары/Капитальные ценные бумаги компаний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банктарынын жана башка финансы-кредит уюмдарынын капиталдык баалуу кагаздары/Капитальные ценные бумаги банков и других финансово-кредитных организаций стран СНГ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жана КМШ өлкөлөрүнүн компанияларынын амортизацияланбаган капиталдык баалуу кагаздары/ Капитальные ценные бумаги компаний КР и стран СНГ, не подлежащие амортизации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жана КМШ өлкөлөрүнүн банктарынын жана башка финансы-кредит уюмдарынын амортизацияланбаган капиталдык баалуу кагаздары (20%дан аз)/Капитальные ценные бумаги банков и других финансово-кредитных организаций КР и стран СНГ, не подлежащие амортизации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өлкөлүк компаниялардын капиталдык баалуу кагаздары/Капитальные ценные бумаги иностранных компаний, кроме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 банктарынын жана башка финансы-кредит уюмдарынын капиталдык баалуу кагаздары (20%дан аз)/Капитальные ценные бумаги иностранных банков и других финансово-кредитных организаций, кроме стран СНГ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КРЕДИТТЕР ЖАНА ЛИЗИНГДЕР/КРЕДИТЫ И ЛИЗИНГИ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6"/>
        <w:gridCol w:w="4520"/>
        <w:gridCol w:w="1184"/>
        <w:gridCol w:w="2068"/>
        <w:gridCol w:w="1640"/>
      </w:tblGrid>
      <w:tr>
        <w:tc>
          <w:tcPr>
            <w:tcW w:type="dxa" w:w="7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5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1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20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c>
          <w:tcPr>
            <w:tcW w:type="dxa" w:w="16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банктарына берилген кредиттер/Кредиты банкам Кыргызской Республики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банктарына жана финансы уюмдарына берилген кредиттер/Кредиты банкам и финансовым организациям стран СНГ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 банктарына жана финансы уюмдарына берилген кредиттер/Кредиты иностранным банкам и финансовым организациям, кроме стран СНГ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секторго берилген кредиттер/Кредиты 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эмес секторго кредиттер/Кредиты негосударственному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адамдарга жеке максат үчүн берилген кредиттер/Кредиты физическим лицам для личных целей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секторго берилген ипотекалык кредиттер/Ипотечные кредиты 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эмес секторго берилген ипотекалык кредиттер/Ипотечные кредиты негосударственному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адамдарга берилген ипотекалык кредиттер/Ипотечные кредиты физическим лицам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секторго курулушка берилген кредиттер/Кредиты на строительство 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эмес секторго курулушка берилген кредиттер/Кредиты на строительство негосударственному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адамдарга курулушка берилген кредиттер/Кредиты на строительство физическим лицам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ижарага берилген кредиттер/Кредиты на капитальную аренду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Мушарака, мудараба келишимдери боюнча сунушталган каржылоо/Финансирование, предоставленное по договорам мушарака, мудараба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361.9</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Негизги каражаттар/Основные средства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башка менчиги/Прочая собственность банка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Консолидацияланбаган банктарга инвестициялар жана финансылык катышуу/Инвестиции и финансовое участие в неконсолидированных банках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Банктардан тышкары, консолидацияланбаган финансылык уюмдарга инвестициялар жана финансылык каржылоо/Инвестиции и финансовое участие в неконсолидированных финансовых организациях, кроме банков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Консолидацияланбаган финансылык эмес уюмдарга инвестициялар жана финансылык каржылоо/Инвестиции и финансовое участие в неконсолидированных нефинансовых организациях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Алууга чегерилген пайыздар/Начисленные проценты к получению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 активдер/Прочие активы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Материалдык эмес активдер/Нематериальные активы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 активдердин калган бөлүгү/Остальная часть прочих активов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баланстык активдер (10-430 статьялардын суммасы)/
 ВСЕГО балансовых активов (сумма ст.10-430)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1-категория боюнча/Всего по категории 1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2-категория боюнча/Всего по категории 2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3-категория боюнча/Всего по категории 3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4-категория боюнча/Всего по категории 4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5-категория боюнча/Всего по категории 5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6-категория боюнча/Всего по категории 6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7-категория боюнча/Всего по категории 7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8-категория боюнча/Всего по категории 8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9-категория боюнча/Всего по категории 9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капиталдын эсебинен чыгарылгандар/Всего вычетов из капитала</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БАЛАНСТАН ТЫШКАРКЫ МИЛДЕТТЕНМЕЛЕР/ЗАБАЛАНСОВЫЕ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
        <w:gridCol w:w="4980"/>
        <w:gridCol w:w="1063"/>
        <w:gridCol w:w="1792"/>
        <w:gridCol w:w="1542"/>
      </w:tblGrid>
      <w:tr>
        <w:tc>
          <w:tcPr>
            <w:tcW w:type="dxa" w:w="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7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конверсия фактору, %/
 Фактор кредитной конверсии, %</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Кредиттерди берүүгө милдеттенмелер/Обязательства на выдачу кредитов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Кредиттер жана баалуу кагаздар боюнча жалпы гарантиялар, резервдеги аккредитивдер жана акцепттөө боюнча гарантиялар/Общие гарантии по кредитам и ценным бумагам, резервные аккредитивы и гарантии по акцептованию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 в рамках международной торговли/Эл аралык сооданын алкагындагы соода бүтүмдөрүнө байланыштуу милдеттенмелер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Белгилүү бир бүтүмдөргө байланыштуу милдеттенмелер/Обязательства, связанные с конкретными сделками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Соода бүтүмдөрүнө байланыштуу башка милдеттенмелер/Прочие обязательства, связанные с торговыми сделками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Кийинчерээк сатып алуу шартында сатуу жөнүндө макулдашуулар/Соглашения о продаже с последующим выкупом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Активдерди сатып алуу боюнча милдеттенмелер/Обязательства по покупке активов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клиента/Кардарга алдын ала билдирүүсүз банктын каалаган убакта шартсыз кайтарып алууга/жокко чыгарууга укук берген милдеттенмелери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Валюталык операциялар/Валютные операции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аз/менее 1 года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2 жылга чейин/от 1 года до 2 лет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 бир кийинки жыл үчүн/на каждый следующий год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Пайыздык чен менен операциялар/Операции с процентной ставкой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аз/менее 1 года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2 жылга чейин/от 1 года до 2 лет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 бир кийинки жыл үчүн/на каждый следующий год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Баланстан тышкаркы башка милдеттенмелер/Другие забалансовые обязательства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баланстан тышкаркы милдеттенмелер (540-620-ст. суммасы)/
 ВСЕГО забалансовых обязательств (сумма ст.540-620)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потенциалдуу жана лизингдик жоготуулардын жана чыгымдардын ордун жабууга атайын кам (мындан ары - чыгымдардын ордун жабууга атайын кам)/Всего специальных резервов на покрытие потенциальных и лизинговых потерь и убытков (далее - специальный резерв на покрытие убытков)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Баланстык активдер боюнча чыгымдардын ордун жабууга атайын резерв/Специальный резерв на покрытие убытков по балансовым активам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Баланстан тышкаркы милдеттенмелер боюнча чыгымдардын ордун жабууга атайын резерв/Специальный резерв на покрытие убытков по забалансовым обязательствам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чыгымдын ордун жабууга камды эсептен чыгаруу менен тобокелдик деңгээли боюнча өлчөнгөн баланстык активдер жана баланстан тышкаркы милдеттенмелер (440-ст.плюс 630-ст. минус 640)/
 ВСЕГО балансовых активов и забалансовых обязательств, взвешенных по степени риска, за вычетом резервов на покрытие убытков (ст.440 плюс ст.630 минус ст.640)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СУБОРДИНАЦИЯЛАНГАН КАРЫЗ/СУБОРДИНИРОВАННЫЙ ДОЛГ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4755"/>
        <w:gridCol w:w="1524"/>
        <w:gridCol w:w="1186"/>
        <w:gridCol w:w="2255"/>
      </w:tblGrid>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7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5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Үлүшү %/
 Доля %</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Мөөнөтсүз субординацияланган карыз/Бессрочный субординированный долг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жылдан ашык калган төлөө мөөнөтү менен/С оставшимся сроком погашения более 5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жылдан 5 жылга чейинки калган төлөө мөөнөтү менен/С оставшимся сроком погашения от 4 до 5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жылдан 4 жылга чейинки калган төлөө мөөнөтү менен/С оставшимся сроком погашения от 3 до 4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жылдан 3 жылга чейинки калган төлөө мөөнөтү менен/С оставшимся сроком погашения от 2 до 3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2 жылга чейинки калган төлөө мөөнөтү менен/С оставшимся сроком погашения от 1 до 2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жылга чейинки калган төлөө мөөнөтү менен/С оставшимся сроком погашения менее 1 года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болуп/Всего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КАПИТАЛ ЖАНА КАПИТАЛДЫН ШАЙКЕШТИГИНИН КОЭФФИЦИЕНТТЕРИ/ КАПИТАЛ И КОЭФФИЦИЕНТЫ АДЕКВАТНОСТИ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
        <w:gridCol w:w="8722"/>
        <w:gridCol w:w="824"/>
      </w:tblGrid>
      <w:tr>
        <w:tc>
          <w:tcPr>
            <w:tcW w:type="dxa" w:w="6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w:t>
            </w:r>
          </w:p>
        </w:tc>
        <w:tc>
          <w:tcPr>
            <w:tcW w:type="dxa" w:w="8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Капитал/Капитал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базалык капитал/Базовый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Жөнөкөй акциялар/Простые акции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Артыкчылыктуу куммулятивдик эмес акциялар (Биринчи деңгээлдеги базалык капиталга кошуу үчүн алгылыктуу)/Привилегированные некуммулятивные акции (приемлемые для включения в Базовый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Номиналдан үстөк салынган капитал/Капитал, внесенный сверх номинала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Банктык келечектеги керектөөлөрү үчүн кам/Резервы для будущих потребностей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Өткөн жылдардын бөлүштүрүлбөгөн пайдасы (чыгымы)/Нераспределенная прибыль (убытки) прошлых лет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Өткөн жылдардын чыгымы/(-) Убытки текущего года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Материалдык эмес активдер (430.1-ст.)/(-) Нематериальные активы (ст.430.1)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Консолидацияланбаган банктарга, финансы-кредит уюмдарына жана банк эмес финансы-кредит уюмдарына инвестициялар (200.1, 210.1, 220.1, 230.1-ст., 390-ст., 400-ст.)/(-) Инвестиции в неконсолидированные банки, финансово-кредитные организации и небанковские финансово - кредитные организации (ст. 200.1, 210.1, 220.1, 230.1, ст.390, ст.400)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Мөөнөтү жылдырылган салыктык активдер/(-) Отсроченные налоговые активы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Банктын өздүк акцияларына тике же кыйыр инвестициялар/(-) Прямые или косвенные инвестиции в собственные акции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Биринчи деңгээлдеги базалык капитал (740-830-ст. суммасы)/Всего Базовый капитал Первого уровня (сумма ст.740-830)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кошумча капитал/Дополнительный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 жана юридикалык жактар тарабынан салынган кошумча капитал/Дополнительный капитал, внесенный физическими и юридическими лицами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Артыкчылыктуу (Биринчи деңгээлдеги базалык капиталга кошуу үчүн алгылыктуу) акциялар жана алардын номиналдык наркынан ашык салынган сумма/Привилегированные акции (неприемлемые для включения в Базовый капитал Первого уровня) и сумма, внесенная выше их номинальной стоимости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башка инструменттери (660-ст.)/Другие инструменты капитала (ст.660)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Биринчи деңгээлдеги өздүк кошумча капиталга тике же кыйыр инвестициялар/(-) Прямые или косвенные инвестиции в свой собственный Дополнительный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Консолидацияланбаган банктардын Биринчи деңгээлдеги кошумча капиталга жана финансы-кредиттик уюмдардын жана финансылык эмес уюмдардын капиталына инвестициялар (эгер колдонулса)/(-)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Биринчи деңгээлдеги кошумча капитал (820-860-ст. суммасы)/Всего Дополнительный капитал Первого уровня (сумма ст.820-860)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Биринчи деңгээлдеги капитал (840 жана 900-ст. суммасы)/Всего капитал Первого уровня (сумма ст.840 и ст.900)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Экинчи деңгээлдеги капитал/Капитал Второго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Өтүп жаткан жылдын пайдасы/Прибыль текущего года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 кам (кошуу үчүн алгылыктуу)/Общие резервы (приемлемые для включения)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Баалуу кагаздарды кайра баалоо боюнча кам/Резервы по переоценке ценных бумаг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 өлкө валютасын консолидациялоодо кайра эсептөө боюнча кам/Резервы по пересчету иностранной валюты при консолидации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Пайданы текшилөөгө кам/Резерв на выравнивание прибыли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 боюнча тобокелдиктердин ордун жабууга кам/Резерв на покрытие рисков по инвестициям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инструменттеринин жана карыздык инструменттердин бир бөлүгү, ал Улуттук банктын уруксаты менен банктын Директорлор кеңешинин жазуу жүзүндөгү билдирүүсү боюнча Экинчи деңгээлдеги капиталдын курамына киргизилиши мүмкүн/Часть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Экинчи деңгээлдеги капиталга киргизилген (Биринчи деңгээлдеги капиталга киргизилбеген) акцияларды сатуу баасы менен эмиссиялоо натыйжасы боюнча алардын номиналдык наркынын ортосундагы айырма/Разница между ценой продажи акций, включенных в Капитал Второго уровня (невключенных в Капитал Первого уровня) и их номинальной стоимостью по результатам эмиссии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Биринчи деңгээлдеги өздүк капиталга тике же кыйыр инвестициялар/(-) Прямые или косвенные инвестиции в свой собственный Капитал Второго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Консолидацияланбаган банктардын Экинчи деңгээлдеги капиталына жана финансы-кредит уюмдарынын жана финансылык эмес уюмдардын капиталына инвестициялар (эгер колдонулса)/(-) Инвестиции в Капитал Второго уровня неконсолидированных банков и капитал финансово-кредитных организаций и нефинансовых организаций (если применимо)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Экинчи деңгээлдеги капитал (920-1010-ст. суммасы)/Всего Капитал Второго уровня (сумма ст.920-1010)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таза суммардык капитал (910 жана 1020-ст. суммасы)/Всего чистый суммарный капитал (сумма ст.910 и ст.1020)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Суммардык капиталдын жеткиликтүүлүгүнүн (шайкештигинин) коэффициенти (1030/650-ст.)/Коэффициент достаточности (адекватности) суммарного капитала (ст.1030/ст.650)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капиталдын жеткиликтүүлүгүнүн (шайкештигинин) коэффициенти (910-ст/1020-ст.)/Коэффициент достаточности (адекватности) капитала Первого уровня (ст.910/ст.650)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базалык капиталдын жеткиликтүүлүгүнүн (шайкештигинин) коэффициенти (840-ст/650-ст.)/Коэффициент достаточности (адекватности) Базового капитала Первого уровня (ст.840/ст.650)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Маалымат үчүн:/Справочно: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өздүк каражаттары/Собственные средства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before="120"/>
        <w:ind w:firstLine="567"/>
        <w:jc w:val="right"/>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Приложение 2</w:t>
      </w:r>
      <w:r>
        <w:rPr>
          <w:rFonts w:ascii="Arial" w:cs="Arial" w:eastAsia="Arial" w:hAnsi="Arial"/>
          <w:sz w:val="24"/>
          <w:szCs w:val="24"/>
        </w:rPr>
        <w:t xml:space="preserve"> отчета "Раздел 4. Пруденциальные отчеты. Подраздел 4.9 Экономические нормативы/показатели. Пункт 4.9.1. Сведения о соблюдении экономических нормативов и поддержке дополнительного запаса капитала банка (показатель "Буфер капитала")" изложить в следующей редакции: </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8"/>
        <w:gridCol w:w="1438"/>
        <w:gridCol w:w="1043"/>
        <w:gridCol w:w="1043"/>
        <w:gridCol w:w="1043"/>
        <w:gridCol w:w="1043"/>
        <w:gridCol w:w="1043"/>
        <w:gridCol w:w="1043"/>
        <w:gridCol w:w="1043"/>
      </w:tblGrid>
      <w:tr>
        <w:tc>
          <w:tcPr>
            <w:tcW w:type="dxa" w:w="287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Отчет/Отчет:</w:t>
            </w:r>
          </w:p>
        </w:tc>
        <w:tc>
          <w:tcPr>
            <w:tcW w:type="dxa" w:w="7301"/>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4-бөлүк. Пруденциалдык отчеттор. 4.9.-бөлүкчө. Экономикалык ченемдер/көрсөткүчтөр. 4.9.1.-пункту Экономикалык ченемдердин сакталышы жана банк капиталынын кошумча запасын толуктоо тууралуу маалымат ("Капитал буфери" көрсөткүчү)/
 Раздел 4. Пруденциальные отчеты. Подраздел 4.9. Экономические нормативы/показатели. Пункт 4.9.1. Сведения о соблюдении экономических нормативов и поддержке дополнительного запаса капитала банка (показатель "Буфер капитала")</w:t>
            </w:r>
          </w:p>
        </w:tc>
      </w:tr>
      <w:tr>
        <w:tc>
          <w:tcPr>
            <w:tcW w:type="dxa" w:w="28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Субъекттин аталышы/Наименование субъекта: </w:t>
            </w:r>
          </w:p>
        </w:tc>
        <w:tc>
          <w:tcPr>
            <w:tcW w:type="dxa" w:w="73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Мезгилдүүлүгү/Периодичность: </w:t>
            </w:r>
          </w:p>
        </w:tc>
        <w:tc>
          <w:tcPr>
            <w:tcW w:type="dxa" w:w="20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Тел. исп.: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Единица измерения: </w:t>
            </w:r>
          </w:p>
        </w:tc>
        <w:tc>
          <w:tcPr>
            <w:tcW w:type="dxa" w:w="20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(миӊ сом/тыс. сом)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Экономикалык ченемдердин жана талаптардын аталышы, банк капиталынын кошумча запасы ("капитал буфери" көрсөткүчү)/Наименование экономических нормативов и требований, дополнительный запас капитала банка (показатель "буфер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Белгилениши/Обозначение </w:t>
            </w:r>
          </w:p>
        </w:tc>
        <w:tc>
          <w:tcPr>
            <w:tcW w:type="dxa" w:w="20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капиталынын ченемин жана кошумча запасты эсептөө ("капиталдын буфери" көрсөткүчү)/Расчет норматива и дополнительного запаса капитала банка (показателя "буфер капитала") </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капиталынын ченеминин жана кошумча запастын ("капитал буферинин" көрсөткүчү) айкын мааниси/Фактическое значение норматива и дополнительного запаса капитала банка (показателя "буфер капитала") </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капиталынын ченеминин жана кошумча запасынын белгиленген мааниси ("капитал буферинин" көрсөткүчү)/Установленное значение норматива и дополнительного запаса капитала банка (показателя "буфер капитала") </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капиталынын белгиленген ченеминен жана кошумча запасынан четтөө ("капитал буферинин" көрсөткүчү)/Отклонение от установленного норматива и дополнительного запаса капитала банка (показателя "буфер капитала")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Белгилениши/Обозначение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Мааниси/Значение </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Бир карыз алуучуга тобокелдиктин максималдуу өлчөмү/Максимальный размер риска на одного заемщика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Капиталдын шайкештигинин ченеми/Норматив адекватности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жана 14%**</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ЧРА+П*Кор</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жана 9,5%**</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жана 8%**</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СА+ЗО</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Ликвиддүүлүк ченеми/Норматив ликвидности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Чет өлкө валютасынын ликвиддүүлүгүнүн көрсөткүчү ("капитал буфери" көрсөткүчү)/Показатель ликвидности в иностранной валюте (показатель "буфер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капиталынын кошумча запасы ("капиталдын буфери" көрсөткүчү)/Дополнительный запас капитала банка (показатель "буфер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2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Приложение 2</w:t>
      </w:r>
      <w:r>
        <w:rPr>
          <w:rFonts w:ascii="Arial" w:cs="Arial" w:eastAsia="Arial" w:hAnsi="Arial"/>
          <w:sz w:val="24"/>
          <w:szCs w:val="24"/>
        </w:rPr>
        <w:t xml:space="preserve"> отчета "Раздел 4. Пруденциальные отчеты. Подраздел 4.9 Экономические нормативы/показатели. 4.9.3. Отчет о выполнении требований Национального банка" изложить в следующей редакции: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"4.9.3. Улуттук банктын талаптарынын аткарылышы жөнүндө отчет/
 4.9.3. Отчет о выполнении требований Национального банка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3"/>
        <w:gridCol w:w="1874"/>
        <w:gridCol w:w="1874"/>
        <w:gridCol w:w="1195"/>
        <w:gridCol w:w="1812"/>
      </w:tblGrid>
      <w:tr>
        <w:tc>
          <w:tcPr>
            <w:tcW w:type="dxa" w:w="3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Белгилениши/Обозначение</w:t>
            </w:r>
          </w:p>
        </w:tc>
        <w:tc>
          <w:tcPr>
            <w:tcW w:type="dxa" w:w="37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Ченемди эсептөө/Расчет норматива</w:t>
            </w:r>
          </w:p>
        </w:tc>
        <w:tc>
          <w:tcPr>
            <w:tcW w:type="dxa" w:w="11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Айкын мааниси/Фактическое значение</w:t>
            </w:r>
          </w:p>
        </w:tc>
        <w:tc>
          <w:tcPr>
            <w:tcW w:type="dxa" w:w="18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Белгиленген мааниси/Установленное значение</w:t>
            </w:r>
          </w:p>
        </w:tc>
      </w:tr>
      <w:tr>
        <w:tc>
          <w:tcPr>
            <w:vMerge w:val="continue"/>
            <w:tcBorders>
              <w:top w:val="single" w:color="CBBF9E" w:sz="4"/>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Белгилениши/Обозначение</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Мааниси/Значение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Бланктык кредиттер боюнча тобокелдиктин максималдуу өлчөмү/Максимальный размер риска по бланковым кредитам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Бланктык кредиттер/Бланковые кредиты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50%нан ашпаган/не более 50% от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Аффилирленген жана байланыштуу жактары менен ар бир банк эмес уюмга кайсы гана болбосун финансылык салымдарды жана кредиттерди кошо алганда, кайсы гана болбосун инвестициялардын максималдуу өлчөмү/Максимальный размер любых инвестиций, включая любые финансовые вложения и кредиты в каждую небанковскую организацию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капиталдын 15%нан аз/менее 15% от собственного (регулятивного)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капитал/Собственный (регулятивный)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эмес уюмдарга жалпы инвестициялардын максималдуу өлчөмү/Максимальный размер общих инвестиций в небанковские организации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салынуучу) капиталдын 60%нан аз/менее 60% от собственного (регулятивного)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капитал/Собственный (регулятивный)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Аффилирленген жана байланыштуу жактар менен операциялар боюнча тобокелдиктин максималдуу өлчөмү/Максимальный размер риска по операциям с аффилированными и связанными с лицами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Чогуу алынган карыз/Совокупная задолженность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капиталдын 60%нан ашпаган/не более 60% от собственного (регулятивного)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капитал/Собственный (регулятивный)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Банктык жайларга инвестициялардын максималдуу өлчөмү (негизги каражаттар)/Максимальный размер инвестиций в банковские помещения (основные средства)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төлөнгөн уставдык капиталдын өлчөмүнүн 100%нан ашпаган/не более 100% от размера оплаченного уставного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Төлөнгөн уставдык капитал/Оплаченный уставный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Банктын мамлекеттердин өкмөттөрүнүн жана борбордук банктарынын баалуу кагаздарына инвестицияларынын жалпы өлчөмү/Общий размер инвестиций банка в ценные бумаги правительств и центральных банков государств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100%нан ашпаган/не более 100% от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Банктын мамлекеттик эмес карыздык баалуу кагаздарга инвестицияларынын жалпы өлчөмү/Общий размер инвестиций банка в негосударственные долговые ценные бумаги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50%нан ашпаган/не более 50% от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Банктын ири тобокелдиктеринин жалпы өлчөмү/Общий размер крупных рисков банка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ири тобокелдиктеринин жалпы суммасы/Общая сумма крупных рисков банка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беш эсе өлчөмүнүн 100%нан ашпаган/не более 100% от пятикратного размера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беш эсе өлчөмү/Пятикратный размер 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Баалуу металл түрүндөгү активдердин максималдуу өлчөмү жана кардарлардын тапшырмасы боюнча баалуу металлдар менен операцияларды ишке ашырууга каражаттардын суммасы/Максимальный объем активов в драгоценных металлах и сумма средств на осуществление операций с драгоценными металлами по поручению клиентов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Баалуу металл түрүндөгү активдердин көлөмү жана баалуу металлдар менен операцияларды ишке ашырууга каражаттардын суммасы/Объем активов в драгоценных металлах и сумма средств на осуществление операций с драгоценными металлами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төлөнгөн уставдык капиталынын 100%нан ашпаган/не более 100% от оплаченного уставного капитала банка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Төлөнгөн уставдык капитал/Оплаченный уставной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Жеке адамдардан жана юридикалык жактардан тартылган депозиттердин максималдуу көлөмү*/Максимальный объем депозитов, привлеченных от физических и юридических лиц*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адамдардан жана юридикалык жактардан тартылган депозиттердин көлөмү/Объем депозитов, привлеченных от физических и юридических лиц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портфелинин өлчөмүнүн 50%нан ашпаган/не более 50% от размера кредитного портфеля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кредит портфелинин өлчөмү/Размер кредитного портфеля банка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kmfwzok994-uqcpngbc">
      <w:r>
        <w:rPr>
          <w:rFonts w:ascii="Arial" w:cs="Arial" w:eastAsia="Arial" w:hAnsi="Arial"/>
          <w:color w:val="132D3F"/>
          <w:sz w:val="16"/>
          <w:szCs w:val="16"/>
          <w:u w:val="single"/>
        </w:rPr>
        <w:t xml:space="preserve">dalil.kg/document/230030857</w:t>
      </w:r>
    </w:hyperlink>
  </w:p>
  <w:p>
    <w:pPr>
      <w:spacing w:after="0" w:before="40"/>
      <w:jc w:val="center"/>
    </w:pPr>
    <w:hyperlink w:history="1" r:id="rIdbbcslwqrraos5j8r-8z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4i7rlfcaosglpqjrhn16" Type="http://schemas.openxmlformats.org/officeDocument/2006/relationships/hyperlink" Target="https://dalil.kg/document/112424#st_5" TargetMode="External"/><Relationship Id="rIdkjwhs-d3fynjtzjhdiao9" Type="http://schemas.openxmlformats.org/officeDocument/2006/relationships/hyperlink" Target="https://dalil.kg/document/112424#st_9" TargetMode="External"/><Relationship Id="rIdcllwnlh8ft8-dmb2gm4pq" Type="http://schemas.openxmlformats.org/officeDocument/2006/relationships/hyperlink" Target="https://dalil.kg/document/112424#st_64" TargetMode="External"/><Relationship Id="rIdrihflrw7pno7kkeplnubf" Type="http://schemas.openxmlformats.org/officeDocument/2006/relationships/hyperlink" Target="https://dalil.kg/document/230030857#pr" TargetMode="External"/><Relationship Id="rIdim8x4grsu2uxkyoqyzidt" Type="http://schemas.openxmlformats.org/officeDocument/2006/relationships/hyperlink" Target="https://dalil.kg/document/31372" TargetMode="External"/><Relationship Id="rIddzrizmlccum3y5w_dvg23" Type="http://schemas.openxmlformats.org/officeDocument/2006/relationships/hyperlink" Target="https://dalil.kg/document/31371" TargetMode="External"/><Relationship Id="rIdl3k_gw7bzz_gbnax1n7kr" Type="http://schemas.openxmlformats.org/officeDocument/2006/relationships/hyperlink" Target="https://dalil.kg/document/302285" TargetMode="External"/><Relationship Id="rIddiswxpgwrggyjpz-jjqib" Type="http://schemas.openxmlformats.org/officeDocument/2006/relationships/hyperlink" Target="https://dalil.kg/document/301267" TargetMode="External"/><Relationship Id="rId3bh86oo7odyxehkann036" Type="http://schemas.openxmlformats.org/officeDocument/2006/relationships/hyperlink" Target="https://dalil.kg/document/301269" TargetMode="External"/><Relationship Id="rIdpsqbddxnjmttf9smbfbi2" Type="http://schemas.openxmlformats.org/officeDocument/2006/relationships/hyperlink" Target="https://dalil.kg/document/230030857#pr" TargetMode="External"/><Relationship Id="rId85paa1dpsghzvb60viu57" Type="http://schemas.openxmlformats.org/officeDocument/2006/relationships/hyperlink" Target="https://dalil.kg/document/31371" TargetMode="External"/><Relationship Id="rIdysoy-ecs6akw85uqkpkb0" Type="http://schemas.openxmlformats.org/officeDocument/2006/relationships/hyperlink" Target="https://dalil.kg/document/31372" TargetMode="External"/><Relationship Id="rIdno17yu94ofkhlzwufjqvh" Type="http://schemas.openxmlformats.org/officeDocument/2006/relationships/hyperlink" Target="https://dalil.kg/document/31372" TargetMode="External"/><Relationship Id="rIdubwjgy3krnq5as3ecjazt" Type="http://schemas.openxmlformats.org/officeDocument/2006/relationships/hyperlink" Target="https://dalil.kg/document/31371" TargetMode="External"/><Relationship Id="rId06iqglhnwj__c6w51tbbk" Type="http://schemas.openxmlformats.org/officeDocument/2006/relationships/hyperlink" Target="https://dalil.kg/document/301267" TargetMode="External"/><Relationship Id="rIdrigompgij5poivuriuzgp" Type="http://schemas.openxmlformats.org/officeDocument/2006/relationships/hyperlink" Target="https://dalil.kg/document/302285" TargetMode="External"/><Relationship Id="rIdu67y-a-f-9q2j9gxyvg96" Type="http://schemas.openxmlformats.org/officeDocument/2006/relationships/hyperlink" Target="https://dalil.kg/document/302285" TargetMode="External"/><Relationship Id="rId5binhtgondobkwx7e77-0" Type="http://schemas.openxmlformats.org/officeDocument/2006/relationships/hyperlink" Target="https://dalil.kg/document/301267" TargetMode="External"/><Relationship Id="rIdl9pdhoe41qtwnm6lrg-kl" Type="http://schemas.openxmlformats.org/officeDocument/2006/relationships/hyperlink" Target="https://dalil.kg/document/301269" TargetMode="External"/><Relationship Id="rId6y2qsbkc2xxtts8dnxuu5" Type="http://schemas.openxmlformats.org/officeDocument/2006/relationships/hyperlink" Target="https://dalil.kg/document/302291" TargetMode="External"/><Relationship Id="rIdsqzecwc5axe2cefpolfqj" Type="http://schemas.openxmlformats.org/officeDocument/2006/relationships/hyperlink" Target="https://dalil.kg/document/301269" TargetMode="External"/><Relationship Id="rIdz3d2koqrwue-iqnl1c8ob" Type="http://schemas.openxmlformats.org/officeDocument/2006/relationships/hyperlink" Target="https://dalil.kg/document/302285" TargetMode="External"/><Relationship Id="rIdcbnznm5cxqrf6-bm9gpev" Type="http://schemas.openxmlformats.org/officeDocument/2006/relationships/hyperlink" Target="https://dalil.kg/document/301267"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kmfwzok994-uqcpngbc" Type="http://schemas.openxmlformats.org/officeDocument/2006/relationships/hyperlink" Target="https://dalil.kg/document/230030857" TargetMode="External"/><Relationship Id="rIdbbcslwqrraos5j8r-8z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2026-09-27T10:32:46.795Z</dcterms:created>
  <dcterms:modified xsi:type="dcterms:W3CDTF">2026-09-27T10:32:46.795Z</dcterms:modified>
</cp:coreProperties>
</file>

<file path=docProps/custom.xml><?xml version="1.0" encoding="utf-8"?>
<Properties xmlns="http://schemas.openxmlformats.org/officeDocument/2006/custom-properties" xmlns:vt="http://schemas.openxmlformats.org/officeDocument/2006/docPropsVTypes"/>
</file>