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uuolwlewmwepovkuusq-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Кыргызской Республики
 от 23 сентября 2025 года № 605)</w:t>
      </w:r>
    </w:p>
    <w:p>
      <w:pPr>
        <w:spacing w:after="240" w:before="200"/>
        <w:jc w:val="center"/>
      </w:pPr>
      <w:r>
        <w:rPr>
          <w:rFonts w:ascii="Arial" w:cs="Arial" w:eastAsia="Arial" w:hAnsi="Arial"/>
          <w:b/>
          <w:bCs/>
          <w:sz w:val="32"/>
          <w:szCs w:val="32"/>
        </w:rPr>
        <w:t xml:space="preserve">ПОРЯДОК
 предоставления поручительства субъектам национальной экономики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gyuj5nzk0hmzeapsvvvsk">
        <w:r>
          <w:rPr>
            <w:rFonts w:ascii="Arial" w:cs="Arial" w:eastAsia="Arial" w:hAnsi="Arial"/>
            <w:i/>
            <w:iCs/>
            <w:color w:val="1D4ED8"/>
            <w:sz w:val="24"/>
            <w:szCs w:val="24"/>
            <w:u w:val="single"/>
          </w:rPr>
          <w:t xml:space="preserve">11 декабря 2025 года № 799</w:t>
        </w:r>
      </w:hyperlink>
      <w:r>
        <w:rPr>
          <w:rFonts w:ascii="Arial" w:cs="Arial" w:eastAsia="Arial" w:hAnsi="Arial"/>
          <w:sz w:val="24"/>
          <w:szCs w:val="24"/>
        </w:rPr>
        <w:t xml:space="preserve">, </w:t>
      </w:r>
      <w:hyperlink w:history="1" r:id="rIdqiktlbrbsgvktoellllbp">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wttwel1jna6nfm-mavprq">
        <w:r>
          <w:rPr>
            <w:rFonts w:ascii="Arial" w:cs="Arial" w:eastAsia="Arial" w:hAnsi="Arial"/>
            <w:i/>
            <w:iCs/>
            <w:color w:val="1D4ED8"/>
            <w:sz w:val="24"/>
            <w:szCs w:val="24"/>
            <w:u w:val="single"/>
          </w:rPr>
          <w:t xml:space="preserve">1 июля 2026 года № 454</w:t>
        </w:r>
      </w:hyperlink>
      <w:r>
        <w:rPr>
          <w:rFonts w:ascii="Arial" w:cs="Arial" w:eastAsia="Arial" w:hAnsi="Arial"/>
          <w:i/>
          <w:iCs/>
          <w:sz w:val="24"/>
          <w:szCs w:val="24"/>
        </w:rPr>
        <w:t xml:space="preserve">, </w:t>
      </w:r>
      <w:hyperlink w:history="1" r:id="rIdfg6t3sorssq3octiv_3zo">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предоставления поручительства субъектам национальной экономики (далее - Порядок) регламентирует процедуру предоставления поручительства субъектам национальной экономики уполномоченным Кабинетом Министров Кыргызской Республики (далее - Кабинет Министров) лицом.</w:t>
      </w:r>
    </w:p>
    <w:p>
      <w:pPr>
        <w:spacing w:after="120"/>
        <w:ind w:firstLine="567"/>
        <w:jc w:val="both"/>
      </w:pPr>
      <w:r>
        <w:rPr>
          <w:rFonts w:ascii="Arial" w:cs="Arial" w:eastAsia="Arial" w:hAnsi="Arial"/>
          <w:sz w:val="24"/>
          <w:szCs w:val="24"/>
        </w:rPr>
        <w:t xml:space="preserve">2. Поручительство предоставляется юридическим лицам –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(далее – субъекты) по кредитному договору, договору финансовой аренды (лизинга), банковской гарантии или договору (соглашению) подряда.</w:t>
      </w:r>
    </w:p>
    <w:p>
      <w:pPr>
        <w:spacing w:after="120"/>
        <w:ind w:firstLine="567"/>
        <w:jc w:val="both"/>
      </w:pPr>
      <w:r>
        <w:rPr>
          <w:rFonts w:ascii="Arial" w:cs="Arial" w:eastAsia="Arial" w:hAnsi="Arial"/>
          <w:sz w:val="24"/>
          <w:szCs w:val="24"/>
        </w:rPr>
        <w:t xml:space="preserve">Поручительство не может быть предоставлено для обеспечения исполнения обязательств субъектов по инвестиционным соглашениям, за исключением случаев, когда участие инвестора в финансировании проекта составляет не менее 30 (тридцать) процентов от общей стоимости проекта, подтвержденной соответствующими документами.</w:t>
      </w:r>
    </w:p>
    <w:p>
      <w:pPr>
        <w:spacing w:after="120"/>
        <w:ind w:firstLine="567"/>
        <w:jc w:val="both"/>
      </w:pPr>
      <w:r>
        <w:rPr>
          <w:rFonts w:ascii="Arial" w:cs="Arial" w:eastAsia="Arial" w:hAnsi="Arial"/>
          <w:sz w:val="24"/>
          <w:szCs w:val="24"/>
        </w:rPr>
        <w:t xml:space="preserve">3. Цель поручительства - оказание государственной поддержки субъектам для обеспечения экономической, национальной и продовольственной безопасности Кыргызской Республики, а также поддержание стабильности и развитие отраслей экономики.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полностью или в части, не покрывающейся залоговым обеспечением по кредитному договору, договору финансовой аренды (лизинга), банковской гарантии или договору (соглашению) подряда.</w:t>
      </w:r>
    </w:p>
    <w:p>
      <w:pPr>
        <w:spacing w:after="60"/>
        <w:ind w:firstLine="567"/>
        <w:jc w:val="both"/>
      </w:pPr>
      <w:r>
        <w:rPr>
          <w:rFonts w:ascii="Arial" w:cs="Arial" w:eastAsia="Arial" w:hAnsi="Arial"/>
          <w:sz w:val="24"/>
          <w:szCs w:val="24"/>
        </w:rPr>
        <w:t xml:space="preserve">При этом предоставление поручительства по обязательствам субъекта, полностью не обеспеченным залогом, допускается исключительно в случаях, связанных с обеспечением экономической и (или) национальной безопасности страны, на основании решения Кабинета Министров.</w:t>
      </w:r>
    </w:p>
    <w:p>
      <w:pPr>
        <w:spacing w:after="60"/>
        <w:ind w:firstLine="567"/>
        <w:jc w:val="both"/>
      </w:pPr>
      <w:r>
        <w:rPr>
          <w:rFonts w:ascii="Arial" w:cs="Arial" w:eastAsia="Arial" w:hAnsi="Arial"/>
          <w:sz w:val="24"/>
          <w:szCs w:val="24"/>
        </w:rPr>
        <w:t xml:space="preserve">Положения настоящего пункта применяются с учетом требований, предусмотренных пунктом 4</w:t>
      </w:r>
      <w:r>
        <w:rPr>
          <w:rFonts w:ascii="Arial" w:cs="Arial" w:eastAsia="Arial" w:hAnsi="Arial"/>
          <w:sz w:val="20"/>
          <w:szCs w:val="20"/>
        </w:rPr>
        <w:t xml:space="preserve">1</w:t>
      </w:r>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788mh2gflknzktkmtl-t">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Размер поручительства не может превышать 80 процентов от общей суммы обязательств субъекта по кредиту, лизингу, банковской гарантии или договору (соглашению) подряда, включая основную сумму долга, начисленные проценты и иные платежи, предусмотренные договором, заключенным между кредитором и субъектом.</w:t>
      </w:r>
    </w:p>
    <w:p>
      <w:pPr>
        <w:spacing w:after="120"/>
        <w:ind w:firstLine="709"/>
        <w:jc w:val="both"/>
      </w:pPr>
      <w:r>
        <w:rPr>
          <w:rFonts w:ascii="Arial" w:cs="Arial" w:eastAsia="Arial" w:hAnsi="Arial"/>
          <w:sz w:val="24"/>
          <w:szCs w:val="24"/>
        </w:rPr>
        <w:t xml:space="preserve">Допускается предоставление поручительства в размере 100 процентов от общей суммы обязательств по кредиту, лизингу, банковской гарантии, договору (соглашению) подряда, включая основную сумму долга, начисленные проценты и иные платежи, предусмотренные договором, заключенным между кредитором и субъектом, в отношении:</w:t>
      </w:r>
    </w:p>
    <w:p>
      <w:pPr>
        <w:spacing w:after="120"/>
        <w:ind w:firstLine="709"/>
        <w:jc w:val="both"/>
      </w:pPr>
      <w:r>
        <w:rPr>
          <w:rFonts w:ascii="Arial" w:cs="Arial" w:eastAsia="Arial" w:hAnsi="Arial"/>
          <w:sz w:val="24"/>
          <w:szCs w:val="24"/>
        </w:rPr>
        <w:t xml:space="preserve">– государственных и муниципальных органов, предприятий и учреждений;</w:t>
      </w:r>
    </w:p>
    <w:p>
      <w:pPr>
        <w:spacing w:after="120"/>
        <w:ind w:firstLine="709"/>
        <w:jc w:val="both"/>
      </w:pPr>
      <w:r>
        <w:rPr>
          <w:rFonts w:ascii="Arial" w:cs="Arial" w:eastAsia="Arial" w:hAnsi="Arial"/>
          <w:sz w:val="24"/>
          <w:szCs w:val="24"/>
        </w:rPr>
        <w:t xml:space="preserve">– субъектов, в уставном капитале которых 50 и более процентов доли участия принадлежат государству;</w:t>
      </w:r>
    </w:p>
    <w:p>
      <w:pPr>
        <w:spacing w:after="120"/>
        <w:ind w:firstLine="709"/>
        <w:jc w:val="both"/>
      </w:pPr>
      <w:r>
        <w:rPr>
          <w:rFonts w:ascii="Arial" w:cs="Arial" w:eastAsia="Arial" w:hAnsi="Arial"/>
          <w:sz w:val="24"/>
          <w:szCs w:val="24"/>
        </w:rPr>
        <w:t xml:space="preserve">– субъектов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ghd33kpje6ueszudr7rl">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и/или контрагентом, и субъектом, и прекращает свое действие после завершения обязательств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gqpn-l7wdiajjregpomm">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lewujgulpbyqu1eh6qybx">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настоящем Порядке используются следующие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для выработки государственной политики, координационного регулирования и выполнения исполнительных функций в бюджетной и финансовой сферах;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для разработки и реализации единой государственной политики в области экономического развития и налоговой сфере;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субъекта перед финансово-кредитными,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это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средства поручительства</w:t>
      </w:r>
      <w:r>
        <w:rPr>
          <w:rFonts w:ascii="Arial" w:cs="Arial" w:eastAsia="Arial" w:hAnsi="Arial"/>
          <w:sz w:val="24"/>
          <w:szCs w:val="24"/>
        </w:rPr>
        <w:t xml:space="preserve"> - совокупность денежных средств, сформированных за счет средств республиканского бюджета, направленных на увеличение уставного капитала поручителя для исполнения обязательств по поручительству.</w:t>
      </w:r>
    </w:p>
    <w:p>
      <w:pPr>
        <w:spacing w:after="120"/>
        <w:ind w:firstLine="567"/>
        <w:jc w:val="both"/>
      </w:pPr>
      <w:r>
        <w:rPr>
          <w:rFonts w:ascii="Arial" w:cs="Arial" w:eastAsia="Arial" w:hAnsi="Arial"/>
          <w:sz w:val="24"/>
          <w:szCs w:val="24"/>
        </w:rPr>
        <w:t xml:space="preserve">Средства поручительства могут быть использованы для обеспечения текущей деятельности поручителя, включая административные, организационные и иные операционные расходы, с обязательным последующим восполнением израсходованных средств;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поручитель</w:t>
      </w:r>
      <w:r>
        <w:rPr>
          <w:rFonts w:ascii="Arial" w:cs="Arial" w:eastAsia="Arial" w:hAnsi="Arial"/>
          <w:sz w:val="24"/>
          <w:szCs w:val="24"/>
        </w:rPr>
        <w:t xml:space="preserve"> - лицо, уполномоченное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кредитор</w:t>
      </w:r>
      <w:r>
        <w:rPr>
          <w:rFonts w:ascii="Arial" w:cs="Arial" w:eastAsia="Arial" w:hAnsi="Arial"/>
          <w:sz w:val="24"/>
          <w:szCs w:val="24"/>
        </w:rPr>
        <w:t xml:space="preserve"> - организация, которая предоставляет кредит, лизинг субъекту и имеет право требовать возврата предоставленных денег или имущества в оговоренные сроки;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субъект национальной экономики</w:t>
      </w:r>
      <w:r>
        <w:rPr>
          <w:rFonts w:ascii="Arial" w:cs="Arial" w:eastAsia="Arial" w:hAnsi="Arial"/>
          <w:sz w:val="24"/>
          <w:szCs w:val="24"/>
        </w:rPr>
        <w:t xml:space="preserve"> - юридическое лицо, зарегистрированное в установленном законодательством порядке на территории Кыргызской Республики и осуществляющее производственную, коммерческую, финансовую либо иную хозяйственную деятельность на территории Кыргызской Республики, соответствующее критериям, установленным настоящим Порядком.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txlr8ywhp_z6rfhf5pbq">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основной договор – кредитный договор, договор финансовой аренды (лизинга), договор о выдаче банковской гарантии, договор (соглашение) подряда;</w:t>
      </w:r>
    </w:p>
    <w:p>
      <w:pPr>
        <w:spacing w:after="120"/>
        <w:ind w:firstLine="567"/>
        <w:jc w:val="both"/>
      </w:pPr>
      <w:r>
        <w:rPr>
          <w:rFonts w:ascii="Arial" w:cs="Arial" w:eastAsia="Arial" w:hAnsi="Arial"/>
          <w:sz w:val="24"/>
          <w:szCs w:val="24"/>
        </w:rPr>
        <w:t xml:space="preserve">13) контрагент – лицо, являющееся стороной основного договора, в пользу которого обеспечивается исполнение обязательств субъекта по договору (соглашению) подряда. Под контрагентом понимается подрядчик, перед которым обеспечивается исполнение обязательств субъекта-заказчика.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_y0yoycgfue4swye5sn8">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w:t>
      </w:r>
      <w:r>
        <w:rPr>
          <w:rFonts w:ascii="Arial" w:cs="Arial" w:eastAsia="Arial" w:hAnsi="Arial"/>
          <w:sz w:val="20"/>
          <w:szCs w:val="20"/>
        </w:rPr>
        <w:t xml:space="preserve">1</w:t>
      </w:r>
      <w:r>
        <w:rPr>
          <w:rFonts w:ascii="Arial" w:cs="Arial" w:eastAsia="Arial" w:hAnsi="Arial"/>
          <w:sz w:val="24"/>
          <w:szCs w:val="24"/>
        </w:rPr>
        <w:t xml:space="preserve">. Уполномоченный государственный орган по прогнозированию и исполнению бюджета ежегодно осуществляет мониторинг ликвидности средств поручителя по принятым обязательствам и предусматривает средства в республиканском бюджете в установленном порядке.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lwsr8gr1rpz7e0pqvnht">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Решение о предоставлении поручительства</w:t>
      </w:r>
    </w:p>
    <w:p>
      <w:pPr>
        <w:spacing w:after="120"/>
        <w:ind w:firstLine="567"/>
        <w:jc w:val="both"/>
      </w:pPr>
      <w:r>
        <w:rPr>
          <w:rFonts w:ascii="Arial" w:cs="Arial" w:eastAsia="Arial" w:hAnsi="Arial"/>
          <w:sz w:val="24"/>
          <w:szCs w:val="24"/>
        </w:rPr>
        <w:t xml:space="preserve">7. Решение о предоставлении поручительства субъектам принимается Кабинетом Министров по согласованию с профильным комитетом Жогорку Кенеша Кыргызской Республики.</w:t>
      </w:r>
    </w:p>
    <w:p>
      <w:pPr>
        <w:spacing w:after="120"/>
        <w:ind w:firstLine="567"/>
        <w:jc w:val="both"/>
      </w:pPr>
      <w:r>
        <w:rPr>
          <w:rFonts w:ascii="Arial" w:cs="Arial" w:eastAsia="Arial" w:hAnsi="Arial"/>
          <w:sz w:val="24"/>
          <w:szCs w:val="24"/>
        </w:rPr>
        <w:t xml:space="preserve">8. Инициатором проекта решения Кабинета Министров о предоставлении поручительства выступает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9. Для инициирования принятия решения Кабинетом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а в случае если субъект осуществляет деятельность менее трех лет, -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и/или решение кредитного комитета, отражающие условия предоставления кредита, проект договора финансовой аренды (лизинга), проект договора о выдаче банковской гарантии, проект договора (соглашения) подряда;</w:t>
      </w:r>
    </w:p>
    <w:p>
      <w:pPr>
        <w:spacing w:after="60"/>
        <w:ind w:firstLine="567"/>
        <w:jc w:val="both"/>
      </w:pPr>
      <w:r>
        <w:rPr>
          <w:rFonts w:ascii="Arial" w:cs="Arial" w:eastAsia="Arial" w:hAnsi="Arial"/>
          <w:sz w:val="24"/>
          <w:szCs w:val="24"/>
        </w:rPr>
        <w:t xml:space="preserve">6) документы, подтверждающие обеспечение исполнения обязательств по договору поручительства, включая один или несколько из следующих документов:</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пользования имуществом, предоставляемым в залог;</w:t>
      </w:r>
    </w:p>
    <w:p>
      <w:pPr>
        <w:spacing w:after="60"/>
        <w:ind w:firstLine="567"/>
        <w:jc w:val="both"/>
      </w:pPr>
      <w:r>
        <w:rPr>
          <w:rFonts w:ascii="Arial" w:cs="Arial" w:eastAsia="Arial" w:hAnsi="Arial"/>
          <w:sz w:val="24"/>
          <w:szCs w:val="24"/>
        </w:rPr>
        <w:t xml:space="preserve">- копии регистрационных и учредительных документов дополнительного поручителя - юридического лица (устав, свидетельство о регистрации/перерегистрации, учредительный договор), заверенные печатью, а также решения органа управления юридического лица, определенного учредительными документами, о согласии выступить дополнительным поручителем по обязательствам субъекта по договору поручительства;</w:t>
      </w:r>
    </w:p>
    <w:p>
      <w:pPr>
        <w:spacing w:after="60"/>
        <w:ind w:firstLine="567"/>
        <w:jc w:val="both"/>
      </w:pPr>
      <w:r>
        <w:rPr>
          <w:rFonts w:ascii="Arial" w:cs="Arial" w:eastAsia="Arial" w:hAnsi="Arial"/>
          <w:sz w:val="24"/>
          <w:szCs w:val="24"/>
        </w:rPr>
        <w:t xml:space="preserve">- копия паспорта дополнительного поручителя - физического лица;</w:t>
      </w:r>
    </w:p>
    <w:p>
      <w:pPr>
        <w:spacing w:after="60"/>
        <w:ind w:firstLine="567"/>
        <w:jc w:val="both"/>
      </w:pPr>
      <w:r>
        <w:rPr>
          <w:rFonts w:ascii="Arial" w:cs="Arial" w:eastAsia="Arial" w:hAnsi="Arial"/>
          <w:sz w:val="24"/>
          <w:szCs w:val="24"/>
        </w:rPr>
        <w:t xml:space="preserve">- проект банковской гарантии и (или) решение кредитного комитета, отражающие условия предоставления банковской гарантии в качестве обеспечения обязательств субъекта по договору поручительства;</w:t>
      </w:r>
    </w:p>
    <w:p>
      <w:pPr>
        <w:spacing w:after="60"/>
        <w:ind w:firstLine="567"/>
        <w:jc w:val="both"/>
      </w:pPr>
      <w:r>
        <w:rPr>
          <w:rFonts w:ascii="Arial" w:cs="Arial" w:eastAsia="Arial" w:hAnsi="Arial"/>
          <w:sz w:val="24"/>
          <w:szCs w:val="24"/>
        </w:rPr>
        <w:t xml:space="preserve">- решение (согласие) органа управления субъекта, определенного учредительными документами, о предоставлении поручителю права на безакцептное (бесспорное) списание денежных средств;</w:t>
      </w:r>
    </w:p>
    <w:p>
      <w:pPr>
        <w:spacing w:after="60"/>
        <w:ind w:firstLine="567"/>
        <w:jc w:val="both"/>
      </w:pPr>
      <w:r>
        <w:rPr>
          <w:rFonts w:ascii="Arial" w:cs="Arial" w:eastAsia="Arial" w:hAnsi="Arial"/>
          <w:sz w:val="24"/>
          <w:szCs w:val="24"/>
        </w:rPr>
        <w:t xml:space="preserve">- копии документов на иное обеспечение, предусмотренное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органа управления субъекта, определенного учредительными документами, на заключение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8) копия паспорта лица, уполномоченного на подписание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w:t>
      </w:r>
    </w:p>
    <w:p>
      <w:pPr>
        <w:spacing w:after="60"/>
        <w:ind w:firstLine="567"/>
        <w:jc w:val="both"/>
      </w:pPr>
      <w:r>
        <w:rPr>
          <w:rFonts w:ascii="Arial" w:cs="Arial" w:eastAsia="Arial" w:hAnsi="Arial"/>
          <w:sz w:val="24"/>
          <w:szCs w:val="24"/>
        </w:rPr>
        <w:t xml:space="preserve">9) информация и (или)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10) бизнес-план.</w:t>
      </w:r>
    </w:p>
    <w:p>
      <w:pPr>
        <w:spacing w:after="60"/>
        <w:ind w:firstLine="567"/>
        <w:jc w:val="both"/>
      </w:pPr>
      <w:r>
        <w:rPr>
          <w:rFonts w:ascii="Arial" w:cs="Arial" w:eastAsia="Arial" w:hAnsi="Arial"/>
          <w:sz w:val="24"/>
          <w:szCs w:val="24"/>
        </w:rPr>
        <w:t xml:space="preserve">Отдельные части подпунктов 2, 3 и 9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n3e8asstdbh83gasdd4k">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2qsitgpjs5uipzwjmqz70">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 При рассмотрении заявлений на предоставление поручительства для реализации инфраструктурных и промышленных проектов дополнительно предоставляются один или несколько следующих документов:</w:t>
      </w:r>
    </w:p>
    <w:p>
      <w:pPr>
        <w:spacing w:after="60"/>
        <w:ind w:firstLine="567"/>
        <w:jc w:val="both"/>
      </w:pPr>
      <w:r>
        <w:rPr>
          <w:rFonts w:ascii="Arial" w:cs="Arial" w:eastAsia="Arial" w:hAnsi="Arial"/>
          <w:sz w:val="24"/>
          <w:szCs w:val="24"/>
        </w:rPr>
        <w:t xml:space="preserve">1) технико-экономическое обоснование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2) проектно-сметная документация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3) аналогичные прайс-листы на приобретаемое оборудование, сооружение и иные объекты;</w:t>
      </w:r>
    </w:p>
    <w:p>
      <w:pPr>
        <w:spacing w:after="60"/>
        <w:ind w:firstLine="567"/>
        <w:jc w:val="both"/>
      </w:pPr>
      <w:r>
        <w:rPr>
          <w:rFonts w:ascii="Arial" w:cs="Arial" w:eastAsia="Arial" w:hAnsi="Arial"/>
          <w:sz w:val="24"/>
          <w:szCs w:val="24"/>
        </w:rPr>
        <w:t xml:space="preserve">4) контракты, договоры и соглашения;</w:t>
      </w:r>
    </w:p>
    <w:p>
      <w:pPr>
        <w:spacing w:after="60"/>
        <w:ind w:firstLine="567"/>
        <w:jc w:val="both"/>
      </w:pPr>
      <w:r>
        <w:rPr>
          <w:rFonts w:ascii="Arial" w:cs="Arial" w:eastAsia="Arial" w:hAnsi="Arial"/>
          <w:sz w:val="24"/>
          <w:szCs w:val="24"/>
        </w:rPr>
        <w:t xml:space="preserve">5) учредительные документы и финансовая отчетность за последние три года организации и (или)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6) информация и (или)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7) информация и (или) справка об отсутствии/наличии задолженности перед финансово-кредитными организациями, подтвержденная соответствующим кредитным бюро.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veopzmnnn2hae5ikp_2a">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До инициирования проекта решения Кабинета Министров о предоставлении поручительства уполномоченному государственному органу по экономическому прогнозированию необходимо:</w:t>
      </w:r>
    </w:p>
    <w:p>
      <w:pPr>
        <w:spacing w:after="120"/>
        <w:ind w:firstLine="567"/>
        <w:jc w:val="both"/>
      </w:pPr>
      <w:r>
        <w:rPr>
          <w:rFonts w:ascii="Arial" w:cs="Arial" w:eastAsia="Arial" w:hAnsi="Arial"/>
          <w:sz w:val="24"/>
          <w:szCs w:val="24"/>
        </w:rPr>
        <w:t xml:space="preserve">1) провести проверку полноты и/или правильности представленных документов;</w:t>
      </w:r>
    </w:p>
    <w:p>
      <w:pPr>
        <w:spacing w:after="120"/>
        <w:ind w:firstLine="567"/>
        <w:jc w:val="both"/>
      </w:pPr>
      <w:r>
        <w:rPr>
          <w:rFonts w:ascii="Arial" w:cs="Arial" w:eastAsia="Arial" w:hAnsi="Arial"/>
          <w:sz w:val="24"/>
          <w:szCs w:val="24"/>
        </w:rPr>
        <w:t xml:space="preserve">2) оценить стратегическое значение субъекта для экономической деятельности, национальной и продовольственной безопасности Кыргызской Республики;</w:t>
      </w:r>
    </w:p>
    <w:p>
      <w:pPr>
        <w:spacing w:after="120"/>
        <w:ind w:firstLine="567"/>
        <w:jc w:val="both"/>
      </w:pPr>
      <w:r>
        <w:rPr>
          <w:rFonts w:ascii="Arial" w:cs="Arial" w:eastAsia="Arial" w:hAnsi="Arial"/>
          <w:sz w:val="24"/>
          <w:szCs w:val="24"/>
        </w:rPr>
        <w:t xml:space="preserve">3) провести анализ эффективности проекта согласно бизнес-плану, ТЭО и другим документам.</w:t>
      </w:r>
    </w:p>
    <w:p>
      <w:pPr>
        <w:spacing w:after="120"/>
        <w:ind w:firstLine="567"/>
        <w:jc w:val="both"/>
      </w:pPr>
      <w:r>
        <w:rPr>
          <w:rFonts w:ascii="Arial" w:cs="Arial" w:eastAsia="Arial" w:hAnsi="Arial"/>
          <w:sz w:val="24"/>
          <w:szCs w:val="24"/>
        </w:rPr>
        <w:t xml:space="preserve">12. По итогам проведенного анализа и полученных от поручителя результатов рассмотрения полного пакета документов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_rn0sk1sf9bj_4xgnwh8">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w:t>
      </w:r>
      <w:r>
        <w:rPr>
          <w:rFonts w:ascii="Arial" w:cs="Arial" w:eastAsia="Arial" w:hAnsi="Arial"/>
          <w:sz w:val="20"/>
          <w:szCs w:val="20"/>
        </w:rPr>
        <w:t xml:space="preserve">1</w:t>
      </w:r>
      <w:r>
        <w:rPr>
          <w:rFonts w:ascii="Arial" w:cs="Arial" w:eastAsia="Arial" w:hAnsi="Arial"/>
          <w:sz w:val="24"/>
          <w:szCs w:val="24"/>
        </w:rPr>
        <w:t xml:space="preserve">. Поручитель в течение 7 рабочих дней со дня получения полного пакета документов, предусмотренного пунктами 9 и 10 настоящего Порядка, рассматривает представленные документы и сообщает о результатах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В случае выявления несоответствий в представленных документах или информации поручитель в установленном порядке в течение указанного срока направляет рекомендации по устранению выявленных недостатков.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xclstlygnwkylnzjdcbe">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Уполномоченный государственный орган по экономическому прогнозированию принимает решение об отказе в следующих случаях:</w:t>
      </w:r>
    </w:p>
    <w:p>
      <w:pPr>
        <w:spacing w:after="120"/>
        <w:ind w:firstLine="567"/>
        <w:jc w:val="both"/>
      </w:pPr>
      <w:r>
        <w:rPr>
          <w:rFonts w:ascii="Arial" w:cs="Arial" w:eastAsia="Arial" w:hAnsi="Arial"/>
          <w:sz w:val="24"/>
          <w:szCs w:val="24"/>
        </w:rPr>
        <w:t xml:space="preserve">1) субъекту ранее было предоставлено поручительство, по которому у него возникли нарушения финансовой дисциплины, что подтверждается извещением или уведомлением кредитора и/или контрагента о неисполнении или ненадлежащем исполнении обязательств субъектом;</w:t>
      </w:r>
    </w:p>
    <w:p>
      <w:pPr>
        <w:spacing w:after="120"/>
        <w:ind w:firstLine="567"/>
        <w:jc w:val="both"/>
      </w:pPr>
      <w:r>
        <w:rPr>
          <w:rFonts w:ascii="Arial" w:cs="Arial" w:eastAsia="Arial" w:hAnsi="Arial"/>
          <w:sz w:val="24"/>
          <w:szCs w:val="24"/>
        </w:rPr>
        <w:t xml:space="preserve">2) если предоставляемые субъекту кредитные средства были получены кредитором в виде бюджетного кредита;</w:t>
      </w:r>
    </w:p>
    <w:p>
      <w:pPr>
        <w:spacing w:after="120"/>
        <w:ind w:firstLine="567"/>
        <w:jc w:val="both"/>
      </w:pPr>
      <w:r>
        <w:rPr>
          <w:rFonts w:ascii="Arial" w:cs="Arial" w:eastAsia="Arial" w:hAnsi="Arial"/>
          <w:sz w:val="24"/>
          <w:szCs w:val="24"/>
        </w:rPr>
        <w:t xml:space="preserve">3) непредставление требуемых документов согласно пунктам 9 и 10 настоящего Порядка.</w:t>
      </w:r>
    </w:p>
    <w:p>
      <w:pPr>
        <w:spacing w:after="120"/>
        <w:ind w:firstLine="567"/>
        <w:jc w:val="both"/>
      </w:pPr>
      <w:r>
        <w:rPr>
          <w:rFonts w:ascii="Arial" w:cs="Arial" w:eastAsia="Arial" w:hAnsi="Arial"/>
          <w:sz w:val="24"/>
          <w:szCs w:val="24"/>
        </w:rPr>
        <w:t xml:space="preserve">4) если субъект отнесен кредитором и/или поручителем к категории высокого риска.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jiqvax5gqd3l30enaeux">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r0olgu8g9-uxti_0yrfgs">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14. Проекты решений Кабинета Министров о предоставлении поручительства должны содержать:</w:t>
      </w:r>
    </w:p>
    <w:p>
      <w:pPr>
        <w:spacing w:after="120"/>
        <w:ind w:firstLine="567"/>
        <w:jc w:val="both"/>
      </w:pPr>
      <w:r>
        <w:rPr>
          <w:rFonts w:ascii="Arial" w:cs="Arial" w:eastAsia="Arial" w:hAnsi="Arial"/>
          <w:sz w:val="24"/>
          <w:szCs w:val="24"/>
        </w:rPr>
        <w:t xml:space="preserve">1) наименование субъекта, которому предоставляется поручительство;</w:t>
      </w:r>
    </w:p>
    <w:p>
      <w:pPr>
        <w:spacing w:after="120"/>
        <w:ind w:firstLine="567"/>
        <w:jc w:val="both"/>
      </w:pPr>
      <w:r>
        <w:rPr>
          <w:rFonts w:ascii="Arial" w:cs="Arial" w:eastAsia="Arial" w:hAnsi="Arial"/>
          <w:sz w:val="24"/>
          <w:szCs w:val="24"/>
        </w:rPr>
        <w:t xml:space="preserve">2) описание и цель обязательства (кредитный договор, договор финансовой аренды (лизинга), банковская гарантия или договор (соглашение) подряда);</w:t>
      </w:r>
    </w:p>
    <w:p>
      <w:pPr>
        <w:spacing w:after="120"/>
        <w:ind w:firstLine="567"/>
        <w:jc w:val="both"/>
      </w:pPr>
      <w:r>
        <w:rPr>
          <w:rFonts w:ascii="Arial" w:cs="Arial" w:eastAsia="Arial" w:hAnsi="Arial"/>
          <w:sz w:val="24"/>
          <w:szCs w:val="24"/>
        </w:rPr>
        <w:t xml:space="preserve">3) сумму и валюту поручительства;</w:t>
      </w:r>
    </w:p>
    <w:p>
      <w:pPr>
        <w:spacing w:after="120"/>
        <w:ind w:firstLine="567"/>
        <w:jc w:val="both"/>
      </w:pPr>
      <w:r>
        <w:rPr>
          <w:rFonts w:ascii="Arial" w:cs="Arial" w:eastAsia="Arial" w:hAnsi="Arial"/>
          <w:sz w:val="24"/>
          <w:szCs w:val="24"/>
        </w:rPr>
        <w:t xml:space="preserve">4) право безакцептного списания сумм задолженности и иные способы обеспечения исполнения обязательств по договору поручительства.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vngpr5-r1ajvl9eiz7fx">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l5i3kjtipuq-cvurcbxb9">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3. Условия предоставления поручительства</w:t>
      </w:r>
    </w:p>
    <w:p>
      <w:pPr>
        <w:spacing w:after="120"/>
        <w:ind w:firstLine="567"/>
        <w:jc w:val="both"/>
      </w:pPr>
      <w:r>
        <w:rPr>
          <w:rFonts w:ascii="Arial" w:cs="Arial" w:eastAsia="Arial" w:hAnsi="Arial"/>
          <w:sz w:val="24"/>
          <w:szCs w:val="24"/>
        </w:rPr>
        <w:t xml:space="preserve">15. Субъект, претендующий на получение поручительства, должен соответствовать следующим критериям:</w:t>
      </w:r>
    </w:p>
    <w:p>
      <w:pPr>
        <w:spacing w:after="120"/>
        <w:ind w:firstLine="567"/>
        <w:jc w:val="both"/>
      </w:pPr>
      <w:r>
        <w:rPr>
          <w:rFonts w:ascii="Arial" w:cs="Arial" w:eastAsia="Arial" w:hAnsi="Arial"/>
          <w:sz w:val="24"/>
          <w:szCs w:val="24"/>
        </w:rPr>
        <w:t xml:space="preserve">1) резидент Кыргызской Республики;</w:t>
      </w:r>
    </w:p>
    <w:p>
      <w:pPr>
        <w:spacing w:after="120"/>
        <w:ind w:firstLine="567"/>
        <w:jc w:val="both"/>
      </w:pPr>
      <w:r>
        <w:rPr>
          <w:rFonts w:ascii="Arial" w:cs="Arial" w:eastAsia="Arial" w:hAnsi="Arial"/>
          <w:sz w:val="24"/>
          <w:szCs w:val="24"/>
        </w:rPr>
        <w:t xml:space="preserve">2) вклад субъекта должен составлять не менее 30 процентов от общей стоимости проекта, тем самым демонстрировать надежность и устойчивость в осуществлении проекта и/или деятельности;</w:t>
      </w:r>
    </w:p>
    <w:p>
      <w:pPr>
        <w:spacing w:after="120"/>
        <w:ind w:firstLine="567"/>
        <w:jc w:val="both"/>
      </w:pPr>
      <w:r>
        <w:rPr>
          <w:rFonts w:ascii="Arial" w:cs="Arial" w:eastAsia="Arial" w:hAnsi="Arial"/>
          <w:sz w:val="24"/>
          <w:szCs w:val="24"/>
        </w:rPr>
        <w:t xml:space="preserve">3) стратегическое значение для экономики страны, продовольственной и/или национальной безопасности;</w:t>
      </w:r>
    </w:p>
    <w:p>
      <w:pPr>
        <w:spacing w:after="120"/>
        <w:ind w:firstLine="567"/>
        <w:jc w:val="both"/>
      </w:pPr>
      <w:r>
        <w:rPr>
          <w:rFonts w:ascii="Arial" w:cs="Arial" w:eastAsia="Arial" w:hAnsi="Arial"/>
          <w:sz w:val="24"/>
          <w:szCs w:val="24"/>
        </w:rPr>
        <w:t xml:space="preserve">4) отсутствие просроченной задолженности по уплате налогов и других обязательных платежей в бюджет, а также по бюджетным кредитам.</w:t>
      </w:r>
    </w:p>
    <w:p>
      <w:pPr>
        <w:spacing w:after="120"/>
        <w:ind w:firstLine="567"/>
        <w:jc w:val="both"/>
      </w:pPr>
      <w:r>
        <w:rPr>
          <w:rFonts w:ascii="Arial" w:cs="Arial" w:eastAsia="Arial" w:hAnsi="Arial"/>
          <w:sz w:val="24"/>
          <w:szCs w:val="24"/>
        </w:rPr>
        <w:t xml:space="preserve">Подпункты 2 и 4 настоящего пункта не применяются в случаях необходимости обеспечения экономической, продовольственной и/или национальной безопасности страны в отношении государственных, муниципальных органов, а также субъектов, где 50 и более процентов доли участия в уставном капитале принадлежат государству.</w:t>
      </w:r>
    </w:p>
    <w:p>
      <w:pPr>
        <w:spacing w:after="120"/>
        <w:ind w:firstLine="567"/>
        <w:jc w:val="both"/>
      </w:pPr>
      <w:r>
        <w:rPr>
          <w:rFonts w:ascii="Arial" w:cs="Arial" w:eastAsia="Arial" w:hAnsi="Arial"/>
          <w:sz w:val="24"/>
          <w:szCs w:val="24"/>
        </w:rPr>
        <w:t xml:space="preserve">Требования, установленные подпунктом 2 настоящего пункта, могут не применяться к субъектам,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su8tyfupptrwm6wvghoe">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16. Кредиторы осуществляют финансовый анализ субъекта, включающий оценку кредитного риска и платежеспособности субъекта без привлечения поручителя, а также мониторинг целевого использования выданных кредитных средств.</w:t>
      </w:r>
    </w:p>
    <w:p>
      <w:pPr>
        <w:spacing w:after="60"/>
        <w:ind w:firstLine="567"/>
        <w:jc w:val="both"/>
      </w:pPr>
      <w:r>
        <w:rPr>
          <w:rFonts w:ascii="Arial" w:cs="Arial" w:eastAsia="Arial" w:hAnsi="Arial"/>
          <w:sz w:val="24"/>
          <w:szCs w:val="24"/>
        </w:rPr>
        <w:t xml:space="preserve">В отношении кредиторов, деятельность которых регулируется Национальным банком Кыргызской Республики, указанные процедуры осуществляются в соответствии с нормативными правовыми актами Национального банка Кыргызской Республики и внутренними нормативными документами.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ipw_lzriygimyb_9albt">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Кредитор, контрагент или субъект (по взаимному согласию) вправе привлечь независимого аудитора для сопровождения проекта.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69wm2_8bjgmzmjr7nnp0">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18. Поручительство предоставляется после получения поручителем:</w:t>
      </w:r>
    </w:p>
    <w:p>
      <w:pPr>
        <w:spacing w:after="120"/>
        <w:ind w:firstLine="709"/>
        <w:jc w:val="both"/>
      </w:pPr>
      <w:r>
        <w:rPr>
          <w:rFonts w:ascii="Arial" w:cs="Arial" w:eastAsia="Arial" w:hAnsi="Arial"/>
          <w:sz w:val="24"/>
          <w:szCs w:val="24"/>
        </w:rPr>
        <w:t xml:space="preserve">1) заключения кредитора о выдаче кредита, лизинга и/или банковской гарантии по итогам анализа платежеспособности субъекта и заверенной копии подписанного договора. Решение о предоставлении поручительства принимается после проведения анализа кредитного риска, подтверждения платежеспособности, проведенных кредитором и подтвержденных поручителем на основании методики оценки кредитных рисков, только после получения письменного обращения кредитора;</w:t>
      </w:r>
    </w:p>
    <w:p>
      <w:pPr>
        <w:spacing w:after="120"/>
        <w:ind w:firstLine="709"/>
        <w:jc w:val="both"/>
      </w:pPr>
      <w:r>
        <w:rPr>
          <w:rFonts w:ascii="Arial" w:cs="Arial" w:eastAsia="Arial" w:hAnsi="Arial"/>
          <w:sz w:val="24"/>
          <w:szCs w:val="24"/>
        </w:rPr>
        <w:t xml:space="preserve">2) заключения и/или решения уполномоченного органа управления контрагента по договору (соглашению) подряда.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2shjiqyu-txnviuzb6ec">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18</w:t>
      </w:r>
      <w:r>
        <w:rPr>
          <w:rFonts w:ascii="Arial" w:cs="Arial" w:eastAsia="Arial" w:hAnsi="Arial"/>
          <w:sz w:val="20"/>
          <w:szCs w:val="20"/>
        </w:rPr>
        <w:t xml:space="preserve">1</w:t>
      </w:r>
      <w:r>
        <w:rPr>
          <w:rFonts w:ascii="Arial" w:cs="Arial" w:eastAsia="Arial" w:hAnsi="Arial"/>
          <w:sz w:val="24"/>
          <w:szCs w:val="24"/>
        </w:rPr>
        <w:t xml:space="preserve">. Для поручительств, стоимость которых составляет 20 и более процентов от балансовой стоимости активов, поручитель вправе проводить самостоятельную оценку кредитного риска на основании методики оценки кредитных рисков, утвержденной уполномоченным государственным органом по прогнозированию и исполнению бюджета.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0owa9tdhqiavdkt7dirq">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Поручительством может быть предусмотрена как солидарная, так и субсидиарная ответственность поручителя.</w:t>
      </w:r>
    </w:p>
    <w:p>
      <w:pPr>
        <w:spacing w:after="120"/>
        <w:ind w:firstLine="567"/>
        <w:jc w:val="both"/>
      </w:pPr>
      <w:r>
        <w:rPr>
          <w:rFonts w:ascii="Arial" w:cs="Arial" w:eastAsia="Arial" w:hAnsi="Arial"/>
          <w:sz w:val="24"/>
          <w:szCs w:val="24"/>
        </w:rPr>
        <w:t xml:space="preserve">Поручитель несет солидарную ответственность перед кредитором и/или контрагентом, в случае если он является залогодержателем первой очереди в отношении имущества субъекта и/или третьих лиц, включая имущество, которое будет создано или приобретено в будущем, в том числе объекты, реализуемые с использованием финансирования по договору, заключенному между кредитором и/или контрагентом, и субъектом, при условии, что стоимость такого обеспечения полностью покрывает сумму обязательств поручителя. В иных случаях ответственность поручителя является субсидиарной.</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mdng4yh0bdppxdhib1h_i">
        <w:r>
          <w:rPr>
            <w:rFonts w:ascii="Arial" w:cs="Arial" w:eastAsia="Arial" w:hAnsi="Arial"/>
            <w:i/>
            <w:iCs/>
            <w:color w:val="1D4ED8"/>
            <w:sz w:val="24"/>
            <w:szCs w:val="24"/>
            <w:u w:val="single"/>
          </w:rPr>
          <w:t xml:space="preserve">26 мая 2026 года № 371</w:t>
        </w:r>
      </w:hyperlink>
      <w:r>
        <w:rPr>
          <w:rFonts w:ascii="Arial" w:cs="Arial" w:eastAsia="Arial" w:hAnsi="Arial"/>
          <w:sz w:val="24"/>
          <w:szCs w:val="24"/>
        </w:rPr>
        <w:t xml:space="preserve">, </w:t>
      </w:r>
      <w:hyperlink w:history="1" r:id="rIdfbieekzup9az1-9g2jm_z">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20. За предоставление поручительства поручителем взимается комиссия в соответствии с нижеприведенной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5"/>
        <w:gridCol w:w="1628"/>
        <w:gridCol w:w="1628"/>
        <w:gridCol w:w="1628"/>
        <w:gridCol w:w="1628"/>
      </w:tblGrid>
      <w:tr>
        <w:tc>
          <w:tcPr>
            <w:tcW w:type="dxa" w:w="36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32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валюта</w:t>
            </w:r>
          </w:p>
        </w:tc>
        <w:tc>
          <w:tcPr>
            <w:tcW w:type="dxa" w:w="32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vMerge w:val="continue"/>
            <w:tcBorders>
              <w:top w:val="single" w:color="CBBF9E" w:sz="4"/>
              <w:left w:val="single" w:color="CBBF9E" w:sz="4"/>
              <w:bottom w:val="single" w:color="CBBF9E" w:sz="4"/>
              <w:right w:val="single" w:color="CBBF9E" w:sz="4"/>
            </w:tcBorders>
          </w:tcP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риск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Субсидиарная ответственность</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Солидарная ответственность</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разовая комиссия, предусмотренная настоящим пунктом, начисляется на сумму поручительства и подлежит уплате субъектом до заключения договора поручительства;</w:t>
      </w:r>
    </w:p>
    <w:p>
      <w:pPr>
        <w:spacing w:after="120"/>
        <w:ind w:firstLine="567"/>
        <w:jc w:val="both"/>
      </w:pPr>
      <w:r>
        <w:rPr>
          <w:rFonts w:ascii="Arial" w:cs="Arial" w:eastAsia="Arial" w:hAnsi="Arial"/>
          <w:sz w:val="24"/>
          <w:szCs w:val="24"/>
        </w:rPr>
        <w:t xml:space="preserve">- ежегодная комиссия, предусмотренная настоящим пунктом, начисляется на остаток суммы поручительства по состоянию на 1 января каждого года и подлежит уплате субъектом до 1 марта соответствующего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9n1ggb77huskwzcsvp-b">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w:t>
      </w:r>
      <w:r>
        <w:rPr>
          <w:rFonts w:ascii="Arial" w:cs="Arial" w:eastAsia="Arial" w:hAnsi="Arial"/>
          <w:sz w:val="20"/>
          <w:szCs w:val="20"/>
        </w:rPr>
        <w:t xml:space="preserve">1</w:t>
      </w:r>
      <w:r>
        <w:rPr>
          <w:rFonts w:ascii="Arial" w:cs="Arial" w:eastAsia="Arial" w:hAnsi="Arial"/>
          <w:sz w:val="24"/>
          <w:szCs w:val="24"/>
        </w:rPr>
        <w:t xml:space="preserve">. За рассмотрение вопроса о предоставлении поручительства уполномоченным государственным органом по экономическому прогнозированию взимается административный сбор в размере 200000 (двести тысяч) сомов.</w:t>
      </w:r>
    </w:p>
    <w:p>
      <w:pPr>
        <w:spacing w:after="60"/>
        <w:ind w:firstLine="567"/>
        <w:jc w:val="both"/>
      </w:pPr>
      <w:r>
        <w:rPr>
          <w:rFonts w:ascii="Arial" w:cs="Arial" w:eastAsia="Arial" w:hAnsi="Arial"/>
          <w:sz w:val="24"/>
          <w:szCs w:val="24"/>
        </w:rPr>
        <w:t xml:space="preserve">Требования, установленные настоящим пунктом, не распространяются на государственные и муниципальные органы, предприятия и учреждения, а также на субъекты, в уставном капитале которых 50 и более процентов доли участия принадлежат государству.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taghedeejmpjundydzgg">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 (или)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комиссии, предусмотренной пунктом 20 настоящего Порядка, на срок, не превышающий половину срока договора, заключенного между кредитором и/или контрагентом, и субъектом, но не более чем 36 месяцев.</w:t>
      </w:r>
    </w:p>
    <w:p>
      <w:pPr>
        <w:spacing w:after="120"/>
        <w:ind w:firstLine="567"/>
        <w:jc w:val="both"/>
      </w:pPr>
      <w:r>
        <w:rPr>
          <w:rFonts w:ascii="Arial" w:cs="Arial" w:eastAsia="Arial" w:hAnsi="Arial"/>
          <w:sz w:val="24"/>
          <w:szCs w:val="24"/>
        </w:rPr>
        <w:t xml:space="preserve">Субъекту, независимо от его организационно-правовой формы и формы собственности, реализующему проект, включенный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 может быть предоставлена отсрочка по оплате комиссии, предусмотренной пунктом 20 настоящего Порядка, на срок не более 24 месяцев.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wckssvnodw01xhne24hy">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3s_tctmawrct4vxvxs8c5">
        <w:r>
          <w:rPr>
            <w:rFonts w:ascii="Arial" w:cs="Arial" w:eastAsia="Arial" w:hAnsi="Arial"/>
            <w:i/>
            <w:iCs/>
            <w:color w:val="1D4ED8"/>
            <w:sz w:val="24"/>
            <w:szCs w:val="24"/>
            <w:u w:val="single"/>
          </w:rPr>
          <w:t xml:space="preserve">1 июля 2026 года №454</w:t>
        </w:r>
      </w:hyperlink>
      <w:r>
        <w:rPr>
          <w:rFonts w:ascii="Arial" w:cs="Arial" w:eastAsia="Arial" w:hAnsi="Arial"/>
          <w:i/>
          <w:iCs/>
          <w:sz w:val="24"/>
          <w:szCs w:val="24"/>
        </w:rPr>
        <w:t xml:space="preserve">, </w:t>
      </w:r>
      <w:hyperlink w:history="1" r:id="rIdimlfhu72pvsfpw_1nwxqh">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После ввода в эксплуатацию объектов, реализуемых с использованием финансирования по договору, заключенному между кредитором и/или контрагентом, и субъектом, а также принятия кредитором и/или контрагентом результатов финансирования в качестве обеспечения по указанному договору кредитор и/или контрагент обязаны освободить поручителя от обязательств по договору поручительства, если принятое обеспечение покрывает остаток обязательств субъекта по договору.</w:t>
      </w:r>
    </w:p>
    <w:p>
      <w:pPr>
        <w:spacing w:after="120"/>
        <w:ind w:firstLine="709"/>
        <w:jc w:val="both"/>
      </w:pPr>
      <w:r>
        <w:rPr>
          <w:rFonts w:ascii="Arial" w:cs="Arial" w:eastAsia="Arial" w:hAnsi="Arial"/>
          <w:sz w:val="24"/>
          <w:szCs w:val="24"/>
        </w:rPr>
        <w:t xml:space="preserve">21</w:t>
      </w:r>
      <w:r>
        <w:rPr>
          <w:rFonts w:ascii="Arial" w:cs="Arial" w:eastAsia="Arial" w:hAnsi="Arial"/>
          <w:sz w:val="20"/>
          <w:szCs w:val="20"/>
        </w:rPr>
        <w:t xml:space="preserve">2</w:t>
      </w:r>
      <w:r>
        <w:rPr>
          <w:rFonts w:ascii="Arial" w:cs="Arial" w:eastAsia="Arial" w:hAnsi="Arial"/>
          <w:sz w:val="24"/>
          <w:szCs w:val="24"/>
        </w:rPr>
        <w:t xml:space="preserve">. В случае если кредитор и/или контрагент принимают решение о сохранении поручительства после принятия обеспечения, включая объекты финансирования, иное имущество субъекта или третьих лиц, покрывающее остаток обязательств субъекта по договору, заключенному между кредитором и/или контрагентом, и субъектом на момент принятия такого обеспечения, с кредитора и/или контрагента взимается ежегодная комиссия в соответствии с пунктом 20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jonuomvnjyacx1faj13n">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22. Если средства финансирования были освоены субъектом не полностью либо объем обязательств по основному договору был уменьшен, сумма поручительства уменьшается в соответствии с дополнительным соглашением о внесении изменений (дополнений) в основной договор путем заключения дополнительного соглашения к договору поручительства. В данном случае выплаченная разовая комиссия полностью или частично возврату не подлежит.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vpqlcd7nweylzeyknpt7">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субъектом недостоверных сведений и документов, а также внесение изменений субъектом в любые договоры с третьими лицами, прямо или косвенно влияющие на возможность исполнения субъектом своих обязательств по договору, заключенному между кредитором и/или контрагентом, и субъектом без согласия поручителя, поручитель вправе взыскать с субъекта неустойку в размере 5 процентов от общей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s7eoapwe5yqyavtzz4zy">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sorxmfonwhfzkltrcuych">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В случае внесения кредитором и/или контрагентом изменений, влекущих увеличение ответственности или иные неблагоприятные последствия для поручителя, а также при внесении иных изменений в договор, заключенный между кредитором и/или контрагентом, и субъектом без согласия поручителя, поручитель вправе потребовать уплаты штрафа в размере 5 процентов от общей суммы поручительства.</w:t>
      </w:r>
    </w:p>
    <w:p>
      <w:pPr>
        <w:spacing w:after="120"/>
        <w:ind w:firstLine="709"/>
        <w:jc w:val="both"/>
      </w:pPr>
      <w:r>
        <w:rPr>
          <w:rFonts w:ascii="Arial" w:cs="Arial" w:eastAsia="Arial" w:hAnsi="Arial"/>
          <w:sz w:val="24"/>
          <w:szCs w:val="24"/>
        </w:rPr>
        <w:t xml:space="preserve">После получения уведомления от поручителя кредитор и/или контрагент обязаны произвести оплату суммы штрафа, указанной в уведомлении.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bbsbu2v16oryg59fy70q">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24. Все расходы, связанные с оформлением договора поручительства, возлагаются на субъект.</w:t>
      </w:r>
    </w:p>
    <w:p>
      <w:pPr>
        <w:spacing w:after="120"/>
        <w:ind w:firstLine="567"/>
        <w:jc w:val="both"/>
      </w:pPr>
      <w:r>
        <w:rPr>
          <w:rFonts w:ascii="Arial" w:cs="Arial" w:eastAsia="Arial" w:hAnsi="Arial"/>
          <w:sz w:val="24"/>
          <w:szCs w:val="24"/>
        </w:rPr>
        <w:t xml:space="preserve">25. При поступлении кредитору любых денежных средств от субъекта, третьих лиц или поручителей, включая субсидии по процентам, полученные кредитором, обязательства поручителя перед кредитором уменьшаются пропорционально сумме такого погашения. Средства, полученные от реализации залогового имущества, также уменьшают обязательства поручителя перед кредитором.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4tyxlybmnor_ftdomnfx">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Ответственность поручителя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w:t>
      </w:r>
    </w:p>
    <w:p>
      <w:pPr>
        <w:spacing w:after="120"/>
        <w:ind w:firstLine="567"/>
        <w:jc w:val="both"/>
      </w:pPr>
      <w:r>
        <w:rPr>
          <w:rFonts w:ascii="Arial" w:cs="Arial" w:eastAsia="Arial" w:hAnsi="Arial"/>
          <w:sz w:val="24"/>
          <w:szCs w:val="24"/>
        </w:rPr>
        <w:t xml:space="preserve">При этом поручитель исполняет обязательства в соответствии с утвержденным графиком между кредитором и/или контрагентом, и субъектом, осуществляя платежи по итогам соответствующего отчетного периода в конце отчетного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6yyfwpeeoms-ficmhsoj">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o1zadvuvbk7adlf3v2wxz">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сформированных резервов на поручительство и собственного капитала. При этом годовой объем непогашенных обязательств не должен превышать 80 процентов от объема сформированных резервов на поручительство и собственного капитала.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gwqgn0opiilsem-yd147">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кредитором и/или контрагентом путем передачи государственных долговых ценных бумаг (государственные казначейские облигации, государственные казначейские векселя) по их номинальной стоимости.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rtell6n8ca_rhtadsuua">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Обязанность поручителя по исполнению обязательств субъекта наступает при нарушении субъектом сроков исполнения обязательств. При этом кредитор и/или контрагентом в письменном виде уведомляет поручителя о нарушении условий договора, допущенном субъектом.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aookpgqkib3kc8gcxen-">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30. В случае если задержка в предоставлении финансирования, а также иные действия или бездействие кредитора и/или контрагента, выражающиеся в нарушении условий договора, в том числе сроков перечисления средств, отказе от исполнения обязательств без законных оснований либо иных нарушениях, допущенных по их инициативе, повлекут негативные последствия для реализации проекта и ухудшат финансовое состояние субъекта, включая наступление его неплатежеспособности, при условии надлежащего исполнения субъектом всех договорных обязательств кредитор и/или контрагент утрачивают право предъявлять требования к поручителю по исполнению обеспеченных обязательств.</w:t>
      </w:r>
    </w:p>
    <w:p>
      <w:pPr>
        <w:spacing w:after="120"/>
        <w:ind w:firstLine="709"/>
        <w:jc w:val="both"/>
      </w:pPr>
      <w:r>
        <w:rPr>
          <w:rFonts w:ascii="Arial" w:cs="Arial" w:eastAsia="Arial" w:hAnsi="Arial"/>
          <w:sz w:val="24"/>
          <w:szCs w:val="24"/>
        </w:rPr>
        <w:t xml:space="preserve">В случае отказа кредитора и/или контрагента от признания своей ответственности в досудебном порядке разрешение спора осуществляется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r-uiodp-loswvsruifpo">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кредитором и/или контрагентом заверенных документов, подтверждающих объем неисполненных обязательств субъекта по основному договору, а также иных документов, предусмотренных договором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uvzl60a_dtfkr4e-dl8q">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В случае наступления события, влекущего исполнение поручительства, кредитор и/или контрагентом направляет в адрес поручителя соответствующее уведомление, в котором указывается сумма основного долга и начисленных процентов по состоянию на дату направления уведомления. С момента уведомления о досудебном порядке урегулирования задолженности кредитор обязан приостановить начисление неустойки.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z_nttrif3qb1o91secpc">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В случае исполнения поручителем обязательств субъекта и установления факта нарушения субъектом условий договора поручительства поручитель вправе применить один или несколько из следующих механизмов возврата средств:</w:t>
      </w:r>
    </w:p>
    <w:p>
      <w:pPr>
        <w:spacing w:after="120"/>
        <w:ind w:firstLine="567"/>
        <w:jc w:val="both"/>
      </w:pPr>
      <w:r>
        <w:rPr>
          <w:rFonts w:ascii="Arial" w:cs="Arial" w:eastAsia="Arial" w:hAnsi="Arial"/>
          <w:sz w:val="24"/>
          <w:szCs w:val="24"/>
        </w:rPr>
        <w:t xml:space="preserve">1) согласно договору безакцептного (бесспорного) списания денежных средств при наличии денежных средств на расчетном счете в коммерческом банке поручитель вправе инициировать безакцептное списание сумм задолженности;</w:t>
      </w:r>
    </w:p>
    <w:p>
      <w:pPr>
        <w:spacing w:after="120"/>
        <w:ind w:firstLine="567"/>
        <w:jc w:val="both"/>
      </w:pPr>
      <w:r>
        <w:rPr>
          <w:rFonts w:ascii="Arial" w:cs="Arial" w:eastAsia="Arial" w:hAnsi="Arial"/>
          <w:sz w:val="24"/>
          <w:szCs w:val="24"/>
        </w:rPr>
        <w:t xml:space="preserve">2) принятие активов субъекта в счет уменьшения и/или погашения задолженности;</w:t>
      </w:r>
    </w:p>
    <w:p>
      <w:pPr>
        <w:spacing w:after="120"/>
        <w:ind w:firstLine="567"/>
        <w:jc w:val="both"/>
      </w:pPr>
      <w:r>
        <w:rPr>
          <w:rFonts w:ascii="Arial" w:cs="Arial" w:eastAsia="Arial" w:hAnsi="Arial"/>
          <w:sz w:val="24"/>
          <w:szCs w:val="24"/>
        </w:rPr>
        <w:t xml:space="preserve">3) назначение финансового контролера - поручитель вправе инициировать назначение финансового контролера в отношении субъекта с осуществлением контроля за его активами, финансовыми потоками и выполнением обязательств с целью последующего погашения задолженности. Совместно с кредитором и/или контрагентом поручитель также вправе участвовать в контроле за расходованием средств, обеспечивая их рационально целевое и эффективное использование в рамках реализации проекта и погашения задолженности;</w:t>
      </w:r>
    </w:p>
    <w:p>
      <w:pPr>
        <w:spacing w:after="120"/>
        <w:ind w:firstLine="567"/>
        <w:jc w:val="both"/>
      </w:pPr>
      <w:r>
        <w:rPr>
          <w:rFonts w:ascii="Arial" w:cs="Arial" w:eastAsia="Arial" w:hAnsi="Arial"/>
          <w:sz w:val="24"/>
          <w:szCs w:val="24"/>
        </w:rPr>
        <w:t xml:space="preserve">4) перевод долга субъекта на другое лицо. Допускается с согласия поручителя, если повышается надежность исполнения обязательств;</w:t>
      </w:r>
    </w:p>
    <w:p>
      <w:pPr>
        <w:spacing w:after="120"/>
        <w:ind w:firstLine="567"/>
        <w:jc w:val="both"/>
      </w:pPr>
      <w:r>
        <w:rPr>
          <w:rFonts w:ascii="Arial" w:cs="Arial" w:eastAsia="Arial" w:hAnsi="Arial"/>
          <w:sz w:val="24"/>
          <w:szCs w:val="24"/>
        </w:rPr>
        <w:t xml:space="preserve">5) в случае неисполнения субъектом обязательств поручитель вправе инициировать судебное разбирательство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34. После исполнения поручителем обязательств субъекта (частично или в полном объеме) к поручителю переходят все права кредитора и/или контрагента в объеме исполненных обязательств. При этом кредитор и/или контрагент обязаны в трехдневный срок со дня исполнения обязательств поручителем передать ему все документы, удостоверяющие право требования к субъекту-должнику. В случае несвоевременного предоставления указанных документов кредитор и/или контрагент несут ответственность в соответствии с условиями договора поручительства и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Возврат средств, выплаченных поручителем в рамках исполнения обязательств по договору поручительства, осуществляется субъектом на условиях, аналогичных условиям кредитного договора (сроки, процентная ставка, неустойки и другие), и начисляется до полного погашения задолженности перед поручителем.</w:t>
      </w:r>
    </w:p>
    <w:p>
      <w:pPr>
        <w:spacing w:after="120"/>
        <w:ind w:firstLine="709"/>
        <w:jc w:val="both"/>
      </w:pPr>
      <w:r>
        <w:rPr>
          <w:rFonts w:ascii="Arial" w:cs="Arial" w:eastAsia="Arial" w:hAnsi="Arial"/>
          <w:sz w:val="24"/>
          <w:szCs w:val="24"/>
        </w:rPr>
        <w:t xml:space="preserve">Начисленные проценты, неустойки за счет выплаченных поручителем кредитору и/или контрагенту средств перечисляются на расчетный счет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hnj45-avz3ef6s4b_2dq">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35. Поручительство предоставляется в соответствии с требованиями гражданского законодательства Кыргызской Республики.</w:t>
      </w:r>
    </w:p>
    <w:p>
      <w:pPr>
        <w:spacing w:after="240" w:before="200"/>
        <w:jc w:val="center"/>
      </w:pPr>
      <w:r>
        <w:rPr>
          <w:rFonts w:ascii="Arial" w:cs="Arial" w:eastAsia="Arial" w:hAnsi="Arial"/>
          <w:b/>
          <w:bCs/>
          <w:sz w:val="32"/>
          <w:szCs w:val="32"/>
        </w:rPr>
        <w:t xml:space="preserve">Глава 4. Особенности условий предоставления поручительства за счет средств фонда развития регионов</w:t>
      </w:r>
    </w:p>
    <w:p>
      <w:pPr>
        <w:spacing w:after="120"/>
        <w:ind w:firstLine="567"/>
        <w:jc w:val="both"/>
      </w:pPr>
      <w:r>
        <w:rPr>
          <w:rFonts w:ascii="Arial" w:cs="Arial" w:eastAsia="Arial" w:hAnsi="Arial"/>
          <w:sz w:val="24"/>
          <w:szCs w:val="24"/>
        </w:rPr>
        <w:t xml:space="preserve">36. Поручительство предоставляется для покрытия части обязательств субъекта, не обеспеченных залогом по кредиту, в размере не более 50 процентов от стоимости проекта.</w:t>
      </w:r>
    </w:p>
    <w:p>
      <w:pPr>
        <w:spacing w:after="120"/>
        <w:ind w:firstLine="567"/>
        <w:jc w:val="both"/>
      </w:pPr>
      <w:r>
        <w:rPr>
          <w:rFonts w:ascii="Arial" w:cs="Arial" w:eastAsia="Arial" w:hAnsi="Arial"/>
          <w:sz w:val="24"/>
          <w:szCs w:val="24"/>
        </w:rPr>
        <w:t xml:space="preserve">37. Сумма экономического проекта для предоставления поручительства составляет от 30000000 (тридцать миллионов) до 250000000 (двести пятьдесят миллионов) сомов.</w:t>
      </w:r>
    </w:p>
    <w:p>
      <w:pPr>
        <w:spacing w:after="120"/>
        <w:ind w:firstLine="567"/>
        <w:jc w:val="both"/>
      </w:pPr>
      <w:r>
        <w:rPr>
          <w:rFonts w:ascii="Arial" w:cs="Arial" w:eastAsia="Arial" w:hAnsi="Arial"/>
          <w:sz w:val="24"/>
          <w:szCs w:val="24"/>
        </w:rPr>
        <w:t xml:space="preserve">38. Поручительство предоставляется субъектам, осуществляющим деятельность в регионах, городах и областях республики, за исключением городов Бишкек и Ош.</w:t>
      </w:r>
    </w:p>
    <w:p>
      <w:pPr>
        <w:spacing w:after="120"/>
        <w:ind w:firstLine="567"/>
        <w:jc w:val="both"/>
      </w:pPr>
      <w:r>
        <w:rPr>
          <w:rFonts w:ascii="Arial" w:cs="Arial" w:eastAsia="Arial" w:hAnsi="Arial"/>
          <w:sz w:val="24"/>
          <w:szCs w:val="24"/>
        </w:rPr>
        <w:t xml:space="preserve">39. Отбор субъектов для предоставления поручительства осуществляется Наблюдательным советом фонда развития регионов с последующим перенаправлением соответствующего заключения в уполномоченный государственный орган по экономическому прогнозированию для инициирования решения Кабинета Министров.</w:t>
      </w:r>
    </w:p>
    <w:p>
      <w:pPr>
        <w:spacing w:after="120"/>
        <w:ind w:firstLine="567"/>
        <w:jc w:val="both"/>
      </w:pPr>
      <w:r>
        <w:rPr>
          <w:rFonts w:ascii="Arial" w:cs="Arial" w:eastAsia="Arial" w:hAnsi="Arial"/>
          <w:sz w:val="24"/>
          <w:szCs w:val="24"/>
        </w:rPr>
        <w:t xml:space="preserve">40. Поручительство предоставляется в виде субсидиарной ответственности.</w:t>
      </w:r>
    </w:p>
    <w:p>
      <w:pPr>
        <w:spacing w:after="120"/>
        <w:ind w:firstLine="567"/>
        <w:jc w:val="both"/>
      </w:pPr>
      <w:r>
        <w:rPr>
          <w:rFonts w:ascii="Arial" w:cs="Arial" w:eastAsia="Arial" w:hAnsi="Arial"/>
          <w:sz w:val="24"/>
          <w:szCs w:val="24"/>
        </w:rPr>
        <w:t xml:space="preserve">41. Источниками формирования средств являются 20 процентов из утвержденных Наблюдательным советом фонда развития регионов средств на финансирование экономических проектов путем перечисления на увеличение уставного капитала поручителя, предназначенные для исполнения обязательств по поручительству.</w:t>
      </w:r>
    </w:p>
    <w:p>
      <w:pPr>
        <w:spacing w:after="120"/>
        <w:ind w:firstLine="567"/>
        <w:jc w:val="both"/>
      </w:pPr>
      <w:r>
        <w:rPr>
          <w:rFonts w:ascii="Arial" w:cs="Arial" w:eastAsia="Arial" w:hAnsi="Arial"/>
          <w:sz w:val="24"/>
          <w:szCs w:val="24"/>
        </w:rPr>
        <w:t xml:space="preserve">42.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 из фонда развития регионов.</w:t>
      </w:r>
    </w:p>
    <w:p>
      <w:pPr>
        <w:spacing w:after="120"/>
        <w:ind w:firstLine="567"/>
        <w:jc w:val="both"/>
      </w:pPr>
      <w:r>
        <w:rPr>
          <w:rFonts w:ascii="Arial" w:cs="Arial" w:eastAsia="Arial" w:hAnsi="Arial"/>
          <w:sz w:val="24"/>
          <w:szCs w:val="24"/>
        </w:rPr>
        <w:t xml:space="preserve">43. Поручительство не предоставляется по обязательствам субъектов, финансированных за счет средств фонда развития регионов.</w:t>
      </w:r>
    </w:p>
    <w:p>
      <w:pPr>
        <w:spacing w:after="240" w:before="200"/>
        <w:jc w:val="center"/>
      </w:pPr>
      <w:r>
        <w:rPr>
          <w:rFonts w:ascii="Arial" w:cs="Arial" w:eastAsia="Arial" w:hAnsi="Arial"/>
          <w:b/>
          <w:bCs/>
          <w:sz w:val="32"/>
          <w:szCs w:val="32"/>
        </w:rPr>
        <w:t xml:space="preserve">Глава 5. Прекращение предоставления поручительства</w:t>
      </w:r>
    </w:p>
    <w:p>
      <w:pPr>
        <w:spacing w:after="120"/>
        <w:ind w:firstLine="567"/>
        <w:jc w:val="both"/>
      </w:pPr>
      <w:r>
        <w:rPr>
          <w:rFonts w:ascii="Arial" w:cs="Arial" w:eastAsia="Arial" w:hAnsi="Arial"/>
          <w:sz w:val="24"/>
          <w:szCs w:val="24"/>
        </w:rPr>
        <w:t xml:space="preserve">44.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120"/>
        <w:ind w:firstLine="567"/>
        <w:jc w:val="both"/>
      </w:pPr>
      <w:r>
        <w:rPr>
          <w:rFonts w:ascii="Arial" w:cs="Arial" w:eastAsia="Arial" w:hAnsi="Arial"/>
          <w:sz w:val="24"/>
          <w:szCs w:val="24"/>
        </w:rPr>
        <w:t xml:space="preserve">45. Поручительство прекращается с переводом на другое лицо долга по обеспеченному поручительством обязательству, если поручитель не дал кредитору и/или контрагенту согласия отвечать за нового должника.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xnscovgomimub_axf-ma">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46. Поручительство прекращается, если по наступлении срока исполнения обеспеченного им обязательства кредитор и/или контрагентом отказался принять надлежащее исполнение, предложенное субъектом или поручителем.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xpfzyzh39t46zffqib3f">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в течение одного года со дня наступления срока исполнения обязательства, обеспеченного поручительством, кредитор и/или контрагентом не предъявит требования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кредитори/или контрагентом не предъявит требования к поручителю в течение двух лет со дня заключения договора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dzaczwnlx0xizbbuyvw">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Поручительство прекращается, если при анализе платежеспособности и принятии решения о предоставлении кредита кредитор скрыл существенные факты или представил заведомо недостоверные сведения, что в свою очередь привело к неплатежеспособности заемщика.</w:t>
      </w:r>
    </w:p>
    <w:p>
      <w:pPr>
        <w:spacing w:after="240" w:before="200"/>
        <w:jc w:val="center"/>
      </w:pPr>
      <w:r>
        <w:rPr>
          <w:rFonts w:ascii="Arial" w:cs="Arial" w:eastAsia="Arial" w:hAnsi="Arial"/>
          <w:b/>
          <w:bCs/>
          <w:sz w:val="32"/>
          <w:szCs w:val="32"/>
        </w:rPr>
        <w:t xml:space="preserve">Глава 6. Мониторинг деятельности субъекта в рамках предоставленного поручительства</w:t>
      </w:r>
    </w:p>
    <w:p>
      <w:pPr>
        <w:spacing w:after="120"/>
        <w:ind w:firstLine="567"/>
        <w:jc w:val="both"/>
      </w:pPr>
      <w:r>
        <w:rPr>
          <w:rFonts w:ascii="Arial" w:cs="Arial" w:eastAsia="Arial" w:hAnsi="Arial"/>
          <w:sz w:val="24"/>
          <w:szCs w:val="24"/>
        </w:rPr>
        <w:t xml:space="preserve">49. Поручитель вправе проводить мониторинг деятельности субъекта в рамках заключенного договора поручительства, в том числе с привлечением независимых экспертов и специалистов, имеющих опыт профессиональной деятельности в соответствующей области, в том числе за счет средств разовой комиссии.</w:t>
      </w:r>
    </w:p>
    <w:p>
      <w:pPr>
        <w:spacing w:after="120"/>
        <w:ind w:firstLine="567"/>
        <w:jc w:val="both"/>
      </w:pPr>
      <w:r>
        <w:rPr>
          <w:rFonts w:ascii="Arial" w:cs="Arial" w:eastAsia="Arial" w:hAnsi="Arial"/>
          <w:sz w:val="24"/>
          <w:szCs w:val="24"/>
        </w:rPr>
        <w:t xml:space="preserve">50. Субъект обязан по первому требованию поручителя предоставлять всю запрашиваемую информацию, необходимую для качественного и объективного анализа его деятельности.</w:t>
      </w:r>
    </w:p>
    <w:p>
      <w:pPr>
        <w:spacing w:after="240" w:before="200"/>
        <w:jc w:val="center"/>
      </w:pPr>
      <w:r>
        <w:rPr>
          <w:rFonts w:ascii="Arial" w:cs="Arial" w:eastAsia="Arial" w:hAnsi="Arial"/>
          <w:b/>
          <w:bCs/>
          <w:sz w:val="32"/>
          <w:szCs w:val="32"/>
        </w:rPr>
        <w:t xml:space="preserve">Глава 7. Источники формирования средств для предоставления поручительства</w:t>
      </w:r>
    </w:p>
    <w:p>
      <w:pPr>
        <w:spacing w:after="120"/>
        <w:ind w:firstLine="567"/>
        <w:jc w:val="both"/>
      </w:pPr>
      <w:r>
        <w:rPr>
          <w:rFonts w:ascii="Arial" w:cs="Arial" w:eastAsia="Arial" w:hAnsi="Arial"/>
          <w:sz w:val="24"/>
          <w:szCs w:val="24"/>
        </w:rPr>
        <w:t xml:space="preserve">51. Источниками формирования средств для предоставления поручительства являются:</w:t>
      </w:r>
    </w:p>
    <w:p>
      <w:pPr>
        <w:spacing w:after="120"/>
        <w:ind w:firstLine="567"/>
        <w:jc w:val="both"/>
      </w:pPr>
      <w:r>
        <w:rPr>
          <w:rFonts w:ascii="Arial" w:cs="Arial" w:eastAsia="Arial" w:hAnsi="Arial"/>
          <w:sz w:val="24"/>
          <w:szCs w:val="24"/>
        </w:rPr>
        <w:t xml:space="preserve">1) средства, которые уполномоченный государственный орган ежегодно предусматривает в республиканском бюджете для реализации механизма предоставления поручительства субъектам на соответствующий год в размере не более 1 процента от объема совокупных расходов (без учета средств предоставления поручительства) путем перечисления на увеличение уставного капитала поручителя, предназначенные для исполнения обязательств по поручительству;</w:t>
      </w:r>
    </w:p>
    <w:p>
      <w:pPr>
        <w:spacing w:after="120"/>
        <w:ind w:firstLine="567"/>
        <w:jc w:val="both"/>
      </w:pPr>
      <w:r>
        <w:rPr>
          <w:rFonts w:ascii="Arial" w:cs="Arial" w:eastAsia="Arial" w:hAnsi="Arial"/>
          <w:sz w:val="24"/>
          <w:szCs w:val="24"/>
        </w:rPr>
        <w:t xml:space="preserve">2) средства, аккумулируемые на накопительных счетах центрального казначейства Министерства финансов Кыргызской Республики, открытых в Национальном банке Кыргызской Республики, распоряжение которыми не требует согласия доноров и/или с согласия доноров;</w:t>
      </w:r>
    </w:p>
    <w:p>
      <w:pPr>
        <w:spacing w:after="120"/>
        <w:ind w:firstLine="567"/>
        <w:jc w:val="both"/>
      </w:pPr>
      <w:r>
        <w:rPr>
          <w:rFonts w:ascii="Arial" w:cs="Arial" w:eastAsia="Arial" w:hAnsi="Arial"/>
          <w:sz w:val="24"/>
          <w:szCs w:val="24"/>
        </w:rPr>
        <w:t xml:space="preserve">3) средства уставного капитала поручителя, предназначенные для предоставления поручительства;</w:t>
      </w:r>
    </w:p>
    <w:p>
      <w:pPr>
        <w:spacing w:after="120"/>
        <w:ind w:firstLine="567"/>
        <w:jc w:val="both"/>
      </w:pPr>
      <w:r>
        <w:rPr>
          <w:rFonts w:ascii="Arial" w:cs="Arial" w:eastAsia="Arial" w:hAnsi="Arial"/>
          <w:sz w:val="24"/>
          <w:szCs w:val="24"/>
        </w:rPr>
        <w:t xml:space="preserve">4) другие источники финансирования, привлечение которых не противоречит законодательству Кыргызской Республики.</w:t>
      </w:r>
    </w:p>
    <w:p>
      <w:pPr>
        <w:spacing w:after="240" w:before="200"/>
        <w:jc w:val="center"/>
      </w:pPr>
      <w:r>
        <w:rPr>
          <w:rFonts w:ascii="Arial" w:cs="Arial" w:eastAsia="Arial" w:hAnsi="Arial"/>
          <w:b/>
          <w:bCs/>
          <w:sz w:val="32"/>
          <w:szCs w:val="32"/>
        </w:rPr>
        <w:t xml:space="preserve">Глава 8. Порядок формирования средств для предоставления поручительства</w:t>
      </w:r>
    </w:p>
    <w:p>
      <w:pPr>
        <w:spacing w:after="120"/>
        <w:ind w:firstLine="567"/>
        <w:jc w:val="both"/>
      </w:pPr>
      <w:r>
        <w:rPr>
          <w:rFonts w:ascii="Arial" w:cs="Arial" w:eastAsia="Arial" w:hAnsi="Arial"/>
          <w:sz w:val="24"/>
          <w:szCs w:val="24"/>
        </w:rPr>
        <w:t xml:space="preserve">52. Средства уставного капитала, предусмотренные на предоставление поручительства, размещаются:</w:t>
      </w:r>
    </w:p>
    <w:p>
      <w:pPr>
        <w:spacing w:after="120"/>
        <w:ind w:firstLine="567"/>
        <w:jc w:val="both"/>
      </w:pPr>
      <w:r>
        <w:rPr>
          <w:rFonts w:ascii="Arial" w:cs="Arial" w:eastAsia="Arial" w:hAnsi="Arial"/>
          <w:sz w:val="24"/>
          <w:szCs w:val="24"/>
        </w:rPr>
        <w:t xml:space="preserve">1) на депозитных счетах, открытых в коммерческих банках;</w:t>
      </w:r>
    </w:p>
    <w:p>
      <w:pPr>
        <w:spacing w:after="120"/>
        <w:ind w:firstLine="567"/>
        <w:jc w:val="both"/>
      </w:pPr>
      <w:r>
        <w:rPr>
          <w:rFonts w:ascii="Arial" w:cs="Arial" w:eastAsia="Arial" w:hAnsi="Arial"/>
          <w:sz w:val="24"/>
          <w:szCs w:val="24"/>
        </w:rPr>
        <w:t xml:space="preserve">2) в государственных ценных бумагах;</w:t>
      </w:r>
    </w:p>
    <w:p>
      <w:pPr>
        <w:spacing w:after="120"/>
        <w:ind w:firstLine="567"/>
        <w:jc w:val="both"/>
      </w:pPr>
      <w:r>
        <w:rPr>
          <w:rFonts w:ascii="Arial" w:cs="Arial" w:eastAsia="Arial" w:hAnsi="Arial"/>
          <w:sz w:val="24"/>
          <w:szCs w:val="24"/>
        </w:rPr>
        <w:t xml:space="preserve">3) в драгоценных металлах;</w:t>
      </w:r>
    </w:p>
    <w:p>
      <w:pPr>
        <w:spacing w:after="120"/>
        <w:ind w:firstLine="567"/>
        <w:jc w:val="both"/>
      </w:pPr>
      <w:r>
        <w:rPr>
          <w:rFonts w:ascii="Arial" w:cs="Arial" w:eastAsia="Arial" w:hAnsi="Arial"/>
          <w:sz w:val="24"/>
          <w:szCs w:val="24"/>
        </w:rPr>
        <w:t xml:space="preserve">4) в других финансовых инструментах согласно уставной деятельности поручителя.</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uolwlewmwepovkuusq-g" Type="http://schemas.openxmlformats.org/officeDocument/2006/relationships/hyperlink" Target="http://kodeks.duckdns.org/document/230031529" TargetMode="External"/><Relationship Id="rIdgyuj5nzk0hmzeapsvvvsk" Type="http://schemas.openxmlformats.org/officeDocument/2006/relationships/hyperlink" Target="http://kodeks.duckdns.org/document/230038979" TargetMode="External"/><Relationship Id="rIdqiktlbrbsgvktoellllbp" Type="http://schemas.openxmlformats.org/officeDocument/2006/relationships/hyperlink" Target="http://kodeks.duckdns.org/document/230046883" TargetMode="External"/><Relationship Id="rIdwttwel1jna6nfm-mavprq" Type="http://schemas.openxmlformats.org/officeDocument/2006/relationships/hyperlink" Target="http://kodeks.duckdns.org/document/230048170" TargetMode="External"/><Relationship Id="rIdfg6t3sorssq3octiv_3zo" Type="http://schemas.openxmlformats.org/officeDocument/2006/relationships/hyperlink" Target="http://kodeks.duckdns.org/document/230048991" TargetMode="External"/><Relationship Id="rIdb788mh2gflknzktkmtl-t" Type="http://schemas.openxmlformats.org/officeDocument/2006/relationships/hyperlink" Target="http://kodeks.duckdns.org/document/230046883" TargetMode="External"/><Relationship Id="rIdgghd33kpje6ueszudr7rl" Type="http://schemas.openxmlformats.org/officeDocument/2006/relationships/hyperlink" Target="http://kodeks.duckdns.org/document/230048991" TargetMode="External"/><Relationship Id="rId7gqpn-l7wdiajjregpomm" Type="http://schemas.openxmlformats.org/officeDocument/2006/relationships/hyperlink" Target="http://kodeks.duckdns.org/document/230046883" TargetMode="External"/><Relationship Id="rIdlewujgulpbyqu1eh6qybx" Type="http://schemas.openxmlformats.org/officeDocument/2006/relationships/hyperlink" Target="http://kodeks.duckdns.org/document/230048991" TargetMode="External"/><Relationship Id="rIdxtxlr8ywhp_z6rfhf5pbq" Type="http://schemas.openxmlformats.org/officeDocument/2006/relationships/hyperlink" Target="http://kodeks.duckdns.org/document/230046883" TargetMode="External"/><Relationship Id="rId0_y0yoycgfue4swye5sn8" Type="http://schemas.openxmlformats.org/officeDocument/2006/relationships/hyperlink" Target="http://kodeks.duckdns.org/document/230048991" TargetMode="External"/><Relationship Id="rIdslwsr8gr1rpz7e0pqvnht" Type="http://schemas.openxmlformats.org/officeDocument/2006/relationships/hyperlink" Target="http://kodeks.duckdns.org/document/230046883" TargetMode="External"/><Relationship Id="rIdxn3e8asstdbh83gasdd4k" Type="http://schemas.openxmlformats.org/officeDocument/2006/relationships/hyperlink" Target="http://kodeks.duckdns.org/document/230046883" TargetMode="External"/><Relationship Id="rId2qsitgpjs5uipzwjmqz70" Type="http://schemas.openxmlformats.org/officeDocument/2006/relationships/hyperlink" Target="http://kodeks.duckdns.org/document/230048991" TargetMode="External"/><Relationship Id="rId9veopzmnnn2hae5ikp_2a" Type="http://schemas.openxmlformats.org/officeDocument/2006/relationships/hyperlink" Target="http://kodeks.duckdns.org/document/230046883" TargetMode="External"/><Relationship Id="rIdb_rn0sk1sf9bj_4xgnwh8" Type="http://schemas.openxmlformats.org/officeDocument/2006/relationships/hyperlink" Target="http://kodeks.duckdns.org/document/230046883" TargetMode="External"/><Relationship Id="rIdexclstlygnwkylnzjdcbe" Type="http://schemas.openxmlformats.org/officeDocument/2006/relationships/hyperlink" Target="http://kodeks.duckdns.org/document/230046883" TargetMode="External"/><Relationship Id="rIdejiqvax5gqd3l30enaeux" Type="http://schemas.openxmlformats.org/officeDocument/2006/relationships/hyperlink" Target="http://kodeks.duckdns.org/document/230046883" TargetMode="External"/><Relationship Id="rIdr0olgu8g9-uxti_0yrfgs" Type="http://schemas.openxmlformats.org/officeDocument/2006/relationships/hyperlink" Target="http://kodeks.duckdns.org/document/230048991" TargetMode="External"/><Relationship Id="rId7vngpr5-r1ajvl9eiz7fx" Type="http://schemas.openxmlformats.org/officeDocument/2006/relationships/hyperlink" Target="http://kodeks.duckdns.org/document/230046883" TargetMode="External"/><Relationship Id="rIdl5i3kjtipuq-cvurcbxb9" Type="http://schemas.openxmlformats.org/officeDocument/2006/relationships/hyperlink" Target="http://kodeks.duckdns.org/document/230048991" TargetMode="External"/><Relationship Id="rIdesu8tyfupptrwm6wvghoe" Type="http://schemas.openxmlformats.org/officeDocument/2006/relationships/hyperlink" Target="http://kodeks.duckdns.org/document/230048991" TargetMode="External"/><Relationship Id="rIdxipw_lzriygimyb_9albt" Type="http://schemas.openxmlformats.org/officeDocument/2006/relationships/hyperlink" Target="http://kodeks.duckdns.org/document/230046883" TargetMode="External"/><Relationship Id="rIdu69wm2_8bjgmzmjr7nnp0" Type="http://schemas.openxmlformats.org/officeDocument/2006/relationships/hyperlink" Target="http://kodeks.duckdns.org/document/230048991" TargetMode="External"/><Relationship Id="rId32shjiqyu-txnviuzb6ec" Type="http://schemas.openxmlformats.org/officeDocument/2006/relationships/hyperlink" Target="http://kodeks.duckdns.org/document/230048991" TargetMode="External"/><Relationship Id="rIdf0owa9tdhqiavdkt7dirq" Type="http://schemas.openxmlformats.org/officeDocument/2006/relationships/hyperlink" Target="http://kodeks.duckdns.org/document/230046883" TargetMode="External"/><Relationship Id="rIdmdng4yh0bdppxdhib1h_i" Type="http://schemas.openxmlformats.org/officeDocument/2006/relationships/hyperlink" Target="http://kodeks.duckdns.org/document/230046883" TargetMode="External"/><Relationship Id="rIdfbieekzup9az1-9g2jm_z" Type="http://schemas.openxmlformats.org/officeDocument/2006/relationships/hyperlink" Target="http://kodeks.duckdns.org/document/230048991" TargetMode="External"/><Relationship Id="rIds9n1ggb77huskwzcsvp-b" Type="http://schemas.openxmlformats.org/officeDocument/2006/relationships/hyperlink" Target="http://kodeks.duckdns.org/document/230046883" TargetMode="External"/><Relationship Id="rIdjtaghedeejmpjundydzgg" Type="http://schemas.openxmlformats.org/officeDocument/2006/relationships/hyperlink" Target="http://kodeks.duckdns.org/document/230046883" TargetMode="External"/><Relationship Id="rIdjwckssvnodw01xhne24hy" Type="http://schemas.openxmlformats.org/officeDocument/2006/relationships/hyperlink" Target="http://kodeks.duckdns.org/document/230046883" TargetMode="External"/><Relationship Id="rId3s_tctmawrct4vxvxs8c5" Type="http://schemas.openxmlformats.org/officeDocument/2006/relationships/hyperlink" Target="http://kodeks.duckdns.org/document/230048170" TargetMode="External"/><Relationship Id="rIdimlfhu72pvsfpw_1nwxqh" Type="http://schemas.openxmlformats.org/officeDocument/2006/relationships/hyperlink" Target="http://kodeks.duckdns.org/document/230048991" TargetMode="External"/><Relationship Id="rId0jonuomvnjyacx1faj13n" Type="http://schemas.openxmlformats.org/officeDocument/2006/relationships/hyperlink" Target="http://kodeks.duckdns.org/document/230048991" TargetMode="External"/><Relationship Id="rIdsvpqlcd7nweylzeyknpt7" Type="http://schemas.openxmlformats.org/officeDocument/2006/relationships/hyperlink" Target="http://kodeks.duckdns.org/document/230048991" TargetMode="External"/><Relationship Id="rIdds7eoapwe5yqyavtzz4zy" Type="http://schemas.openxmlformats.org/officeDocument/2006/relationships/hyperlink" Target="http://kodeks.duckdns.org/document/230046883" TargetMode="External"/><Relationship Id="rIdsorxmfonwhfzkltrcuych" Type="http://schemas.openxmlformats.org/officeDocument/2006/relationships/hyperlink" Target="http://kodeks.duckdns.org/document/230048991" TargetMode="External"/><Relationship Id="rId3bbsbu2v16oryg59fy70q" Type="http://schemas.openxmlformats.org/officeDocument/2006/relationships/hyperlink" Target="http://kodeks.duckdns.org/document/230048991" TargetMode="External"/><Relationship Id="rIde4tyxlybmnor_ftdomnfx" Type="http://schemas.openxmlformats.org/officeDocument/2006/relationships/hyperlink" Target="http://kodeks.duckdns.org/document/230046883" TargetMode="External"/><Relationship Id="rIdx6yyfwpeeoms-ficmhsoj" Type="http://schemas.openxmlformats.org/officeDocument/2006/relationships/hyperlink" Target="http://kodeks.duckdns.org/document/230046883" TargetMode="External"/><Relationship Id="rIdo1zadvuvbk7adlf3v2wxz" Type="http://schemas.openxmlformats.org/officeDocument/2006/relationships/hyperlink" Target="http://kodeks.duckdns.org/document/230048991" TargetMode="External"/><Relationship Id="rId4gwqgn0opiilsem-yd147" Type="http://schemas.openxmlformats.org/officeDocument/2006/relationships/hyperlink" Target="http://kodeks.duckdns.org/document/230046883" TargetMode="External"/><Relationship Id="rIdlrtell6n8ca_rhtadsuua" Type="http://schemas.openxmlformats.org/officeDocument/2006/relationships/hyperlink" Target="http://kodeks.duckdns.org/document/230046883" TargetMode="External"/><Relationship Id="rIduaookpgqkib3kc8gcxen-" Type="http://schemas.openxmlformats.org/officeDocument/2006/relationships/hyperlink" Target="http://kodeks.duckdns.org/document/230048991" TargetMode="External"/><Relationship Id="rId3r-uiodp-loswvsruifpo" Type="http://schemas.openxmlformats.org/officeDocument/2006/relationships/hyperlink" Target="http://kodeks.duckdns.org/document/230048991" TargetMode="External"/><Relationship Id="rIdvuvzl60a_dtfkr4e-dl8q" Type="http://schemas.openxmlformats.org/officeDocument/2006/relationships/hyperlink" Target="http://kodeks.duckdns.org/document/230048991" TargetMode="External"/><Relationship Id="rIdtz_nttrif3qb1o91secpc" Type="http://schemas.openxmlformats.org/officeDocument/2006/relationships/hyperlink" Target="http://kodeks.duckdns.org/document/230048991" TargetMode="External"/><Relationship Id="rId8hnj45-avz3ef6s4b_2dq" Type="http://schemas.openxmlformats.org/officeDocument/2006/relationships/hyperlink" Target="http://kodeks.duckdns.org/document/230048991" TargetMode="External"/><Relationship Id="rIdsxnscovgomimub_axf-ma" Type="http://schemas.openxmlformats.org/officeDocument/2006/relationships/hyperlink" Target="http://kodeks.duckdns.org/document/230048991" TargetMode="External"/><Relationship Id="rIdwxpfzyzh39t46zffqib3f" Type="http://schemas.openxmlformats.org/officeDocument/2006/relationships/hyperlink" Target="http://kodeks.duckdns.org/document/230048991" TargetMode="External"/><Relationship Id="rIduidzaczwnlx0xizbbuyvw" Type="http://schemas.openxmlformats.org/officeDocument/2006/relationships/hyperlink" Target="http://kodeks.duckdns.org/document/230048991"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2026-09-23T08:53:49.058Z</dcterms:created>
  <dcterms:modified xsi:type="dcterms:W3CDTF">2026-09-23T08:53:49.058Z</dcterms:modified>
</cp:coreProperties>
</file>

<file path=docProps/custom.xml><?xml version="1.0" encoding="utf-8"?>
<Properties xmlns="http://schemas.openxmlformats.org/officeDocument/2006/custom-properties" xmlns:vt="http://schemas.openxmlformats.org/officeDocument/2006/docPropsVTypes"/>
</file>