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tt6zwno5jdji9gdmqd7l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КР</w:t>
      </w:r>
    </w:p>
    <w:p>
      <w:pPr>
        <w:spacing w:after="120"/>
        <w:jc w:val="right"/>
      </w:pPr>
      <w:r>
        <w:rPr>
          <w:rFonts w:ascii="Arial" w:cs="Arial" w:eastAsia="Arial" w:hAnsi="Arial"/>
          <w:sz w:val="24"/>
          <w:szCs w:val="24"/>
        </w:rPr>
        <w:t xml:space="preserve"> от 24 сентября 2025 года №613)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w:t>
      </w:r>
    </w:p>
    <w:p>
      <w:pPr>
        <w:spacing w:after="120"/>
        <w:jc w:val="center"/>
      </w:pPr>
      <w:r>
        <w:rPr>
          <w:rFonts w:ascii="Arial" w:cs="Arial" w:eastAsia="Arial" w:hAnsi="Arial"/>
          <w:b/>
          <w:bCs/>
          <w:sz w:val="24"/>
          <w:szCs w:val="24"/>
        </w:rPr>
        <w:t xml:space="preserve">мероприятий</w:t>
      </w:r>
      <w:r>
        <w:rPr>
          <w:rFonts w:ascii="Arial" w:cs="Arial" w:eastAsia="Arial" w:hAnsi="Arial"/>
          <w:b/>
          <w:bCs/>
          <w:sz w:val="24"/>
          <w:szCs w:val="24"/>
        </w:rPr>
        <w:t xml:space="preserve">по устранению выявленных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2024 год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224"/>
        <w:gridCol w:w="4090"/>
        <w:gridCol w:w="3008"/>
        <w:gridCol w:w="1165"/>
        <w:gridCol w:w="1465"/>
      </w:tblGrid>
      <w:tr>
        <w:tc>
          <w:tcPr>
            <w:tcW w:type="dxa" w:w="448"/>
            <w:gridSpan w:val="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09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Предложения Счетной палаты Кыргызской Республики, указанные в отчете об аудите исполнения республиканского бюджета Кыргызской Республики за 2024 год</w:t>
            </w:r>
          </w:p>
        </w:tc>
        <w:tc>
          <w:tcPr>
            <w:tcW w:type="dxa" w:w="300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Мероприятия</w:t>
            </w:r>
          </w:p>
        </w:tc>
        <w:tc>
          <w:tcPr>
            <w:tcW w:type="dxa" w:w="116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Сроки реализации</w:t>
            </w:r>
          </w:p>
        </w:tc>
        <w:tc>
          <w:tcPr>
            <w:tcW w:type="dxa" w:w="146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Ответственные государственные органы</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во исполнение предписания СП по результатам аудита исполнения республиканского бюджета КР за 2023 год:</w:t>
            </w:r>
            <w:r>
              <w:rPr>
                <w:rFonts w:ascii="Arial" w:cs="Arial" w:eastAsia="Arial" w:hAnsi="Arial"/>
                <w:sz w:val="24"/>
                <w:szCs w:val="24"/>
              </w:rPr>
              <w:t xml:space="preserve">– исполнить частично выполненные пункты 1, 3, 4, 11, 13, 15, 32, 47, 48 и невыполненный пункт 23 предписания от 6 сентября 2024 года № 01–20/109, а также восстановить невозмещенную сумму в размере 52 502,6 тыс. сомов;</w:t>
            </w:r>
            <w:r>
              <w:rPr>
                <w:rFonts w:ascii="Arial" w:cs="Arial" w:eastAsia="Arial" w:hAnsi="Arial"/>
                <w:sz w:val="24"/>
                <w:szCs w:val="24"/>
              </w:rPr>
              <w:t xml:space="preserve">– исполнить невыполненный пункт 33 согласно рекомендации № 01–20/108 от 6 сентября 2024 года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исполнения предписаний и рекомендаций по результатам аудитов предыдущих лет</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w:t>
            </w:r>
            <w:r>
              <w:rPr>
                <w:rFonts w:ascii="Arial" w:cs="Arial" w:eastAsia="Arial" w:hAnsi="Arial"/>
                <w:sz w:val="24"/>
                <w:szCs w:val="24"/>
              </w:rPr>
              <w:t xml:space="preserve">– в целях своевременной и качественной подготовки МФ проекта основных направлений фискальной политики КР и проекта Закона КР «О республиканском бюджете КР» на соответствующий год принять меры по своевременному представлению прогноза социально-экономического развития КР и недопущению их утверждения с нарушением сроков, предусмотренных БК КР; </w:t>
            </w:r>
            <w:r>
              <w:rPr>
                <w:rFonts w:ascii="Arial" w:cs="Arial" w:eastAsia="Arial" w:hAnsi="Arial"/>
                <w:sz w:val="24"/>
                <w:szCs w:val="24"/>
              </w:rPr>
              <w:t xml:space="preserve">– рассмотреть ответственность должностных лиц, допустивших негативное влияние на своевременную и качественную подготовку проекта Закона КР
  «О республиканском бюджете КР на 2024 год и период 2025–2026 годов», и за несвоевременную подготовку проекта Основных направлений фискальной политики КР на 2024–2028 годы, а также несвоевременное представление МЭК среднесрочного прогноза социально-экономического развития на 2023–2027 годы</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целях своевременной и качественной подготовки МФ проекта основных направлений фискальной политики КР и проекта Закона КР «О республиканском бюджете КР» на соответствующий год принятие мер по своевременному предоставлению прогноза социально-экономического развития КР и недопущению утверждения с нарушением сроков, предусмотренных БК КР;</w:t>
            </w:r>
            <w:r>
              <w:rPr>
                <w:rFonts w:ascii="Arial" w:cs="Arial" w:eastAsia="Arial" w:hAnsi="Arial"/>
                <w:sz w:val="24"/>
                <w:szCs w:val="24"/>
              </w:rPr>
              <w:t xml:space="preserve">рассмотрение ответственности должностных лиц, оказавших негативное влияние на своевременную и качественную подготовку проекта Закона КР «О республиканском бюджете КР на 2024 год и плановый период 2025–2026 годов»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w:t>
            </w:r>
            <w:r>
              <w:rPr>
                <w:rFonts w:ascii="Arial" w:cs="Arial" w:eastAsia="Arial" w:hAnsi="Arial"/>
                <w:sz w:val="24"/>
                <w:szCs w:val="24"/>
              </w:rPr>
              <w:t xml:space="preserve">КМ КР</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не допускать необоснованного занижения налоговых поступлений при прогнозировании;</w:t>
            </w:r>
            <w:r>
              <w:rPr>
                <w:rFonts w:ascii="Arial" w:cs="Arial" w:eastAsia="Arial" w:hAnsi="Arial"/>
                <w:sz w:val="24"/>
                <w:szCs w:val="24"/>
              </w:rPr>
              <w:t xml:space="preserve">– обеспечить соблюдение всех требований методологии, включая количественный анализ влияния налоговых реформ, расчет налогового потенциала и использование сценарного подхода при прогнозировании; </w:t>
            </w:r>
            <w:r>
              <w:rPr>
                <w:rFonts w:ascii="Arial" w:cs="Arial" w:eastAsia="Arial" w:hAnsi="Arial"/>
                <w:sz w:val="24"/>
                <w:szCs w:val="24"/>
              </w:rPr>
              <w:t xml:space="preserve">– с целью полного выполнения требований порядка формирования доходной части государственного бюджета рассмотреть вопрос интеграции данных совместно с ГНС и ГТС</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Ежемесячный мониторинг исполнения прогнозных показателей государственного бюджета (республиканского и местного бюджетов) по администраторам бюджетных ресурсов; </w:t>
            </w:r>
            <w:r>
              <w:rPr>
                <w:rFonts w:ascii="Arial" w:cs="Arial" w:eastAsia="Arial" w:hAnsi="Arial"/>
                <w:sz w:val="24"/>
                <w:szCs w:val="24"/>
              </w:rPr>
              <w:t xml:space="preserve">обеспечение соблюдения всех требований методики прогнозирования доходов государственного бюджета; </w:t>
            </w:r>
            <w:r>
              <w:rPr>
                <w:rFonts w:ascii="Arial" w:cs="Arial" w:eastAsia="Arial" w:hAnsi="Arial"/>
                <w:sz w:val="24"/>
                <w:szCs w:val="24"/>
              </w:rPr>
              <w:t xml:space="preserve">с целью полного выполнения требований порядка формирования доходной части государственного бюджета рассмотрение вопроса интеграции данных совместно с ГНС и ГТС</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МФ,</w:t>
            </w:r>
            <w:r>
              <w:rPr>
                <w:rFonts w:ascii="Arial" w:cs="Arial" w:eastAsia="Arial" w:hAnsi="Arial"/>
                <w:sz w:val="24"/>
                <w:szCs w:val="24"/>
              </w:rPr>
              <w:t xml:space="preserve">ГНС,</w:t>
            </w:r>
            <w:r>
              <w:rPr>
                <w:rFonts w:ascii="Arial" w:cs="Arial" w:eastAsia="Arial" w:hAnsi="Arial"/>
                <w:sz w:val="24"/>
                <w:szCs w:val="24"/>
              </w:rPr>
              <w:t xml:space="preserve">ГТС</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организовать работу по внедрению институциональных механизмов учета и анализа базы данных неналоговых доходов в краткосрочной перспективе;</w:t>
            </w:r>
            <w:r>
              <w:rPr>
                <w:rFonts w:ascii="Arial" w:cs="Arial" w:eastAsia="Arial" w:hAnsi="Arial"/>
                <w:sz w:val="24"/>
                <w:szCs w:val="24"/>
              </w:rPr>
              <w:t xml:space="preserve">– обеспечить систематическое повышение профессионального уровня специалистов, ответственных за планирование и исполнение неналоговых доходов; </w:t>
            </w:r>
            <w:r>
              <w:rPr>
                <w:rFonts w:ascii="Arial" w:cs="Arial" w:eastAsia="Arial" w:hAnsi="Arial"/>
                <w:sz w:val="24"/>
                <w:szCs w:val="24"/>
              </w:rPr>
              <w:t xml:space="preserve">– обеспечить усиление требований к обоснованию изменений бюджетных параметров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работы по внедрению механизмов учета и анализа базы неналоговых доходов в краткосрочной перспективе;</w:t>
            </w:r>
            <w:r>
              <w:rPr>
                <w:rFonts w:ascii="Arial" w:cs="Arial" w:eastAsia="Arial" w:hAnsi="Arial"/>
                <w:sz w:val="24"/>
                <w:szCs w:val="24"/>
              </w:rPr>
              <w:t xml:space="preserve">обеспечение систематического повышения профессионального уровня специалистов, ответственных за планирование и исполнение неналоговых доходов;</w:t>
            </w:r>
            <w:r>
              <w:rPr>
                <w:rFonts w:ascii="Arial" w:cs="Arial" w:eastAsia="Arial" w:hAnsi="Arial"/>
                <w:sz w:val="24"/>
                <w:szCs w:val="24"/>
              </w:rPr>
              <w:t xml:space="preserve">организация работы по усилению требований к обоснованию изменений параметров неналоговых доходов в общей доходной части государственного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квартал</w:t>
            </w:r>
            <w:r>
              <w:rPr>
                <w:rFonts w:ascii="Arial" w:cs="Arial" w:eastAsia="Arial" w:hAnsi="Arial"/>
                <w:sz w:val="24"/>
                <w:szCs w:val="24"/>
              </w:rPr>
              <w:t xml:space="preserve">2026 года</w:t>
            </w: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необходимо обеспечить обязательное планирование сумм дивидендов, ожидаемых от каждого акционерного общества с государственной долей, и их отражение в бюджетных назначениях; </w:t>
            </w:r>
            <w:r>
              <w:rPr>
                <w:rFonts w:ascii="Arial" w:cs="Arial" w:eastAsia="Arial" w:hAnsi="Arial"/>
                <w:sz w:val="24"/>
                <w:szCs w:val="24"/>
              </w:rPr>
              <w:t xml:space="preserve">– усилить контроль за исполнением статьи 31 Закона КР «Об акционерных обществах», в том числе за принятием решений о распределении прибыли и своевременном перечислении установленной части чистой прибыли в республиканский бюджет. </w:t>
            </w:r>
            <w:r>
              <w:rPr>
                <w:rFonts w:ascii="Arial" w:cs="Arial" w:eastAsia="Arial" w:hAnsi="Arial"/>
                <w:sz w:val="24"/>
                <w:szCs w:val="24"/>
              </w:rPr>
              <w:t xml:space="preserve">КМ КР: </w:t>
            </w:r>
            <w:r>
              <w:rPr>
                <w:rFonts w:ascii="Arial" w:cs="Arial" w:eastAsia="Arial" w:hAnsi="Arial"/>
                <w:sz w:val="24"/>
                <w:szCs w:val="24"/>
              </w:rPr>
              <w:t xml:space="preserve">рассмотреть вопрос разработки методологии прогнозирования, учета и выплаты дивидендов акционерных обществ с государственной и/или муниципальной долей участия, превышающей 50 %, совместно с Госимуществом и МФ</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систематического повышения профессионального уровня специалистов, ответственных за планирование и исполнение неналоговых доходов;</w:t>
            </w:r>
            <w:r>
              <w:rPr>
                <w:rFonts w:ascii="Arial" w:cs="Arial" w:eastAsia="Arial" w:hAnsi="Arial"/>
                <w:sz w:val="24"/>
                <w:szCs w:val="24"/>
              </w:rPr>
              <w:t xml:space="preserve">направление письма об уточнении перечня ведомств по открытым и закрытым акционерным обществам, а также обществам с ограниченной ответственностью, находящимся в ведении государственных органов, в части неналоговых доходов в общей доходной части государственного бюджета;</w:t>
            </w:r>
            <w:r>
              <w:rPr>
                <w:rFonts w:ascii="Arial" w:cs="Arial" w:eastAsia="Arial" w:hAnsi="Arial"/>
                <w:sz w:val="24"/>
                <w:szCs w:val="24"/>
              </w:rPr>
              <w:t xml:space="preserve">рассмотрение вопроса разработки методологии прогнозирования, учета и выплаты дивидендов акционерных обществ с государственной и/или муниципальной долей участия более 
  50 %, совместно с МФ и Госимуществом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III квартал</w:t>
            </w:r>
            <w:r>
              <w:rPr>
                <w:rFonts w:ascii="Arial" w:cs="Arial" w:eastAsia="Arial" w:hAnsi="Arial"/>
                <w:sz w:val="24"/>
                <w:szCs w:val="24"/>
              </w:rPr>
              <w:t xml:space="preserve">2025 года</w:t>
            </w: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КМ КР</w:t>
            </w:r>
            <w:r>
              <w:rPr>
                <w:rFonts w:ascii="Arial" w:cs="Arial" w:eastAsia="Arial" w:hAnsi="Arial"/>
                <w:sz w:val="24"/>
                <w:szCs w:val="24"/>
              </w:rPr>
              <w:t xml:space="preserve">МФ</w:t>
            </w:r>
            <w:r>
              <w:rPr>
                <w:rFonts w:ascii="Arial" w:cs="Arial" w:eastAsia="Arial" w:hAnsi="Arial"/>
                <w:sz w:val="24"/>
                <w:szCs w:val="24"/>
              </w:rPr>
              <w:t xml:space="preserve">Госимущество</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Привести в соответствие штатные единицы Госстроя, МТСОМ, МКИМП, ГАГА при КМ КР с требованиями постановления КМ КР «О предельной штатной численности государственных органов исполнительной власти КР и других государственных органов КР, включая технический и обслуживающий персонал» от 15 ноября 2021 года № 264</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письма в соответствии с постановлением Правительства КР 
  «О предельной штатной численности государственных органов исполнительной власти КР и других государственных органов КР, включая технический и обслуживающий персонал» от 15 ноября 2021 года 
  № 264 в отношении штатных единиц МТСОМ, МКИМП, ГАГА при КМ КР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Минстрой</w:t>
            </w:r>
            <w:r>
              <w:rPr>
                <w:rFonts w:ascii="Arial" w:cs="Arial" w:eastAsia="Arial" w:hAnsi="Arial"/>
                <w:sz w:val="24"/>
                <w:szCs w:val="24"/>
              </w:rPr>
              <w:t xml:space="preserve">МФ</w:t>
            </w:r>
            <w:r>
              <w:rPr>
                <w:rFonts w:ascii="Arial" w:cs="Arial" w:eastAsia="Arial" w:hAnsi="Arial"/>
                <w:sz w:val="24"/>
                <w:szCs w:val="24"/>
              </w:rPr>
              <w:t xml:space="preserve">МТСОМ</w:t>
            </w:r>
            <w:r>
              <w:rPr>
                <w:rFonts w:ascii="Arial" w:cs="Arial" w:eastAsia="Arial" w:hAnsi="Arial"/>
                <w:sz w:val="24"/>
                <w:szCs w:val="24"/>
              </w:rPr>
              <w:t xml:space="preserve">МКИМП</w:t>
            </w:r>
            <w:r>
              <w:rPr>
                <w:rFonts w:ascii="Arial" w:cs="Arial" w:eastAsia="Arial" w:hAnsi="Arial"/>
                <w:sz w:val="24"/>
                <w:szCs w:val="24"/>
              </w:rPr>
              <w:t xml:space="preserve">ГАГА</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Провести анализ целесообразности избыточного содержания 175 единиц социальных работников в соответствии с Типовым положением «О социальном обслуживании на дому», утвержденным постановлением ПКР от 5 июля 2011 года
  № 365, и при необходимости рассмотреть вопрос о пересмотре норм штатной численности социальных работников территориальных подразделений, оказывающих услуги на дому</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тщательного анализа для оценки целесообразности содержания 175 штатных единиц социальных работников МТСОМ КР</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МТСОМ</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Инструкцией «О порядке учета сверхнормативных запасов товарно-материальных ценностей и остатков средств при расчетах по годовым отчетам при финансировании бюджетных учреждений», утвержденной постановлением ПКР
  № 694 от 3 ноября 2011 года, при финансировании министерств и других государственных органов, представленных в приложении 3 на 2025 год, учесть сверхнормативные запасы товарно-материальных ценностей в размере 48 648,4 тыс. сомов и дебиторскую задолженность в размере 20 442,0 тыс. сомов по состоянию на конец 2024 года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Учет излишних запасов ТМЦ в размере 48 648,4 тыс. сомов и дебиторской задолженности в размере 20 442,0             тыс. сомов при финансировании министерств и других государственных органов, указанных в приложении 3           к отчету СП, по состоянию на конец 2024 года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приложением 3, сфера государственного аппарата</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расходов государственного предприятия «Кыргыз почтасы» и коммерческих банков по доставке пенсий и пособий должна производиться по статье 2227 «Расходы по оплате услуг по выплате пенсий и пособий» в соответствии с Бюджетной классификацией КР, утвержденной приказом МФ от 27 сентября                2023 года № 5-П</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изменений в приказ МФ              от 27 сентября 2023 года № 5-П</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w:t>
            </w:r>
            <w:r>
              <w:rPr>
                <w:rFonts w:ascii="Arial" w:cs="Arial" w:eastAsia="Arial" w:hAnsi="Arial"/>
                <w:sz w:val="24"/>
                <w:szCs w:val="24"/>
              </w:rPr>
              <w:t xml:space="preserve">– принять соответствующие меры в отношении поставщика учреждения «Технопарк Кыргызского государственного технического университета им. И.Раззакова» за неисполнение своих обязательств в соответствии с условиями договора
  от 31 октября 2024 года № 25/01–1 о закупке
  27 031 единиц ноутбуков;</w:t>
            </w:r>
            <w:r>
              <w:rPr>
                <w:rFonts w:ascii="Arial" w:cs="Arial" w:eastAsia="Arial" w:hAnsi="Arial"/>
                <w:sz w:val="24"/>
                <w:szCs w:val="24"/>
              </w:rPr>
              <w:t xml:space="preserve">– в соответствии с условиями договора, начисленная неустойка в размере 20185,9 тыс. сомов за несвоевременную поставку товара подлежит учету при проведении окончательного расчета с поставщиком с целью взыскания</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соответствующих мер в отношении поставщика учреждения «Технопарк КГТУ им. И.Раззакова»;</w:t>
            </w:r>
            <w:r>
              <w:rPr>
                <w:rFonts w:ascii="Arial" w:cs="Arial" w:eastAsia="Arial" w:hAnsi="Arial"/>
                <w:sz w:val="24"/>
                <w:szCs w:val="24"/>
              </w:rPr>
              <w:t xml:space="preserve">взыскание начисленного штрафа в размере 20 185,9 тыс. сомов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w:t>
            </w:r>
            <w:r>
              <w:rPr>
                <w:rFonts w:ascii="Arial" w:cs="Arial" w:eastAsia="Arial" w:hAnsi="Arial"/>
                <w:sz w:val="24"/>
                <w:szCs w:val="24"/>
              </w:rPr>
              <w:t xml:space="preserve">Минпросвещения</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в дальнейшем финансирование централизованных закупок товаров осуществлять с соблюдением требований Закона КР «О государственных закупках» и распоряжения КМ КР № 8-р от 16 января 2024 года,                а также усилить контроль за использованием бюджетных средств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централизованных закупок товаров с соблюдением требований Закона КР «О государственных закупках»</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МЗ, МКИМП, МНВОИ и МФ:</w:t>
            </w:r>
            <w:r>
              <w:rPr>
                <w:rFonts w:ascii="Arial" w:cs="Arial" w:eastAsia="Arial" w:hAnsi="Arial"/>
                <w:sz w:val="24"/>
                <w:szCs w:val="24"/>
              </w:rPr>
              <w:t xml:space="preserve">разработать нормативы финансирования высших и средних профессиональных учебных заведений в целях недопущения финансирования из бюджетных средств расходов, направленных на обучение студентов, обучающихся на контрактной основе</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разработки и утверждения проекта постановления о нормативах финансирования студентов, обучающихся в высших и средних профессиональных учебных заведениях на бюджетной основе совместно с МЗ, МКИМП, МНВОИ и МФ</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МЗ</w:t>
            </w:r>
            <w:r>
              <w:rPr>
                <w:rFonts w:ascii="Arial" w:cs="Arial" w:eastAsia="Arial" w:hAnsi="Arial"/>
                <w:sz w:val="24"/>
                <w:szCs w:val="24"/>
              </w:rPr>
              <w:t xml:space="preserve">МКИМП </w:t>
            </w:r>
            <w:r>
              <w:rPr>
                <w:rFonts w:ascii="Arial" w:cs="Arial" w:eastAsia="Arial" w:hAnsi="Arial"/>
                <w:sz w:val="24"/>
                <w:szCs w:val="24"/>
              </w:rPr>
              <w:t xml:space="preserve">МНВОИ</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приложении 3 к отчету проведен анализ исполнения сметы расходов по бюджетным средствам министерств, ведомств и их подведомственных учреждений в сфере социальной сферы, согласно которому должны быть учтены сверхнормативные запасы товарно-материальных ценностей на сумму 91 992,4 тыс. сомов и дебиторская задолженность на сумму 103 484,0 тыс.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Учет сверхнормативных запасов ТМЦ в сумме 91 992,4 тыс. сомов и дебиторской задолженности в сумме 103 484,0 тыс. сомов, указанных в приложении 3 к отчету СП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МЗ</w:t>
            </w:r>
            <w:r>
              <w:rPr>
                <w:rFonts w:ascii="Arial" w:cs="Arial" w:eastAsia="Arial" w:hAnsi="Arial"/>
                <w:sz w:val="24"/>
                <w:szCs w:val="24"/>
              </w:rPr>
              <w:t xml:space="preserve">МКИМП </w:t>
            </w:r>
            <w:r>
              <w:rPr>
                <w:rFonts w:ascii="Arial" w:cs="Arial" w:eastAsia="Arial" w:hAnsi="Arial"/>
                <w:sz w:val="24"/>
                <w:szCs w:val="24"/>
              </w:rPr>
              <w:t xml:space="preserve">МНВОИ</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i/>
                <w:iCs/>
                <w:sz w:val="24"/>
                <w:szCs w:val="24"/>
              </w:rPr>
              <w:t xml:space="preserve">:</w:t>
            </w:r>
            <w:r>
              <w:rPr>
                <w:rFonts w:ascii="Arial" w:cs="Arial" w:eastAsia="Arial" w:hAnsi="Arial"/>
                <w:sz w:val="24"/>
                <w:szCs w:val="24"/>
              </w:rPr>
              <w:t xml:space="preserve">МЗ по учету остатков средств (дебиторской задолженности), связанных с приобретением медицинских товаров и услуг, провести работу по приведению в соответствие постановления ПКР       «Об утверждении Инструкции о порядке проведения учета сверхнормативных запасов товарно-материальных ценностей и остатков средств при расчетах по годовым отчетам при финансировании бюджетных учреждений» от 3 ноября 2011 года № 694 и постановления КМ КР «Об утверждении порядка централизованной поставки лекарственных средств и медицинских изделий Государственным предприятием «Кыргызфармация» при МЗ» от 15 ноября 2023 года    № 601  </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Приведение в соответствие с постановлением «Об утверждении Порядка централизованных поставок лекарственных средств и медицинских изделий государственным предприятием «Кыргызфармация» при МЗ»</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sz w:val="24"/>
                <w:szCs w:val="24"/>
              </w:rPr>
              <w:t xml:space="preserve">МЗ</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МКИМП:</w:t>
            </w:r>
            <w:r>
              <w:rPr>
                <w:rFonts w:ascii="Arial" w:cs="Arial" w:eastAsia="Arial" w:hAnsi="Arial"/>
                <w:sz w:val="24"/>
                <w:szCs w:val="24"/>
              </w:rPr>
              <w:t xml:space="preserve">– в срочном порядке вернуть в республиканский бюджет 82,6 млн сомов, переплаченных при закупке оборудования и автотранспорта;</w:t>
            </w:r>
            <w:r>
              <w:rPr>
                <w:rFonts w:ascii="Arial" w:cs="Arial" w:eastAsia="Arial" w:hAnsi="Arial"/>
                <w:sz w:val="24"/>
                <w:szCs w:val="24"/>
              </w:rPr>
              <w:t xml:space="preserve">– рассмотреть ответственность соответствующих должностных лиц, допустивших финансовые нарушения, расхождения в договоре, заключенном с ГП «Кыргыз маданият сервис», и не осуществлявших контроль;</w:t>
            </w:r>
            <w:r>
              <w:rPr>
                <w:rFonts w:ascii="Arial" w:cs="Arial" w:eastAsia="Arial" w:hAnsi="Arial"/>
                <w:sz w:val="24"/>
                <w:szCs w:val="24"/>
              </w:rPr>
              <w:t xml:space="preserve">– рассмотреть обоснованность осуществления государственных закупок через ГП «Кыргыз маданият сервис» на соответствие законодательству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Возврат в республиканский бюджет 
  82,6 млн сомов, переплаченных при закупке оборудования и автотранспорта;</w:t>
            </w:r>
            <w:r>
              <w:rPr>
                <w:rFonts w:ascii="Arial" w:cs="Arial" w:eastAsia="Arial" w:hAnsi="Arial"/>
                <w:sz w:val="24"/>
                <w:szCs w:val="24"/>
              </w:rPr>
              <w:t xml:space="preserve">рассмотрение ответственности должностных лиц, допустивших финансовые нарушения, расхождения в договоре, заключенном с ГП «Кыргыз маданият сервис», и не осуществлявших контроль;</w:t>
            </w:r>
            <w:r>
              <w:rPr>
                <w:rFonts w:ascii="Arial" w:cs="Arial" w:eastAsia="Arial" w:hAnsi="Arial"/>
                <w:sz w:val="24"/>
                <w:szCs w:val="24"/>
              </w:rPr>
              <w:t xml:space="preserve">рассмотрение вопроса о проведении государственных закупок через ГП «Кыргыз маданият сервис» в соответствии с законодательством КР</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МКИМП</w:t>
            </w:r>
            <w:r>
              <w:rPr>
                <w:rFonts w:ascii="Arial" w:cs="Arial" w:eastAsia="Arial" w:hAnsi="Arial"/>
                <w:sz w:val="24"/>
                <w:szCs w:val="24"/>
              </w:rPr>
              <w:t xml:space="preserve">МКИМП</w:t>
            </w:r>
            <w:r>
              <w:rPr>
                <w:rFonts w:ascii="Arial" w:cs="Arial" w:eastAsia="Arial" w:hAnsi="Arial"/>
                <w:sz w:val="24"/>
                <w:szCs w:val="24"/>
              </w:rPr>
              <w:t xml:space="preserve">МКИМП</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требованиями части 3 статьи 21 БК КР обеспечить определение потребностей в расходах, составление бюджета расходов на основе расчетов, основанных на обязательствах, и своевременное финансирование</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требованиями части 3 статьи 21 БК КР, определение потребностей в расходах и обеспечение своевременного финансирования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приложении 3 к отчету проведен анализ исполнения сметы расходов по бюджетным средствам министерств, ведомств и их подведомственных учреждений в сфере экономики, согласно которому в соответствии с Инструкцией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утвержденной ПКР от 3 ноября 2011 года № 694 «Об утверждении Инструкции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должны быть учтены сверхнормативные запасы товарно-материальных ценностей на сумму    143 938,2 тыс. сомов и остатки средств на сумму         678 301,1 тыс.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Учет сверхнормативных запасов ТМЦ в размере 143 938,2 тыс. сомов и остатков денежных средств в размере 
  678 301,1 тыс. сомов, указанных в приложении 3 к отчету СП</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Согласно приложению 3, Сфера</w:t>
            </w:r>
            <w:r>
              <w:rPr>
                <w:rFonts w:ascii="Arial" w:cs="Arial" w:eastAsia="Arial" w:hAnsi="Arial"/>
                <w:sz w:val="24"/>
                <w:szCs w:val="24"/>
              </w:rPr>
              <w:t xml:space="preserve">экономики</w:t>
            </w:r>
            <w:r>
              <w:rPr>
                <w:rFonts w:ascii="Arial" w:cs="Arial" w:eastAsia="Arial" w:hAnsi="Arial"/>
                <w:sz w:val="24"/>
                <w:szCs w:val="24"/>
              </w:rPr>
              <w:t xml:space="preserve">МФ </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МПРЭТН предусмотреть увеличение собственного капитала государственного предприятия «Кыргызгеология» на стоимость техники, оборудования и материалов, приобретенных за счет средств, выделенных из республиканского бюджета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Рассмотрение увеличения стоимости приобретенных за счет средств республиканского бюджета техники, оборудования и материалов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МПРЭТН</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Рассмотреть вопрос об увеличении активов или собственного капитала ГП «НК «Кыргыз темир жолу» за счет средств, предоставленных для внесения в уставный капитал ОсОО «Железнодорожная компания «Китай – Кыргызстан – Узбекистан» в качестве вклада кыргызской стороны</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изменений в бухгалтерский учет в связи с увеличением собственного капитала ГП «НК «Кыргыз Темир жолу»</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МТК</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усилить контроль за осуществлением платежей при увеличении доли государства в капитале акционерных обществ только после принятия соответствующих решений о выпуске дополнительных акций акционерных обществ, со строгим соблюдением статьи 28 Закона КР «Об акционерных обществах»</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Усиление соответствующего контроля за выпуском дополнительных акций акционерных обществ с четким соблюдением статьи 28 Закона КР 
  «Об акционерных обществах»</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при утверждении бюджетов органов местного самоуправления требовать и контролировать утверждение их неналоговых доходов на основе заключенных договоров;</w:t>
            </w:r>
            <w:r>
              <w:rPr>
                <w:rFonts w:ascii="Arial" w:cs="Arial" w:eastAsia="Arial" w:hAnsi="Arial"/>
                <w:sz w:val="24"/>
                <w:szCs w:val="24"/>
              </w:rPr>
              <w:t xml:space="preserve">– в соответствии с пунктом 10 Порядка определения объемов выравнивающих трансфертов, утвержденного постановлением КМ КР «Об утверждении Порядка определения объемов выравнивающих трансфертов» от 17 декабря 2021 года № 315,  предусмотреть внесение изменений в расчетную часть формулы расчета выравнивающих грантов с учетом остатков денежных средств местных бюджетов при определении объемов выравнивающих трансфертов; </w:t>
            </w:r>
            <w:r>
              <w:rPr>
                <w:rFonts w:ascii="Arial" w:cs="Arial" w:eastAsia="Arial" w:hAnsi="Arial"/>
                <w:sz w:val="24"/>
                <w:szCs w:val="24"/>
              </w:rPr>
              <w:t xml:space="preserve">– рассмотреть вопрос об автоматизации процесса планирования и прогнозирования доходов; </w:t>
            </w:r>
            <w:r>
              <w:rPr>
                <w:rFonts w:ascii="Arial" w:cs="Arial" w:eastAsia="Arial" w:hAnsi="Arial"/>
                <w:sz w:val="24"/>
                <w:szCs w:val="24"/>
              </w:rPr>
              <w:t xml:space="preserve">– совместно с соответствующими районными государственными администрациями пересмотреть и рассмотреть вопрос о сокращении финансирования из республиканского бюджета в качестве выравнивающего гранта для городов Токтогул, 
  Кен-Талаа, Кызыл-Туу, Багыш, Ала-Бука, Каныш-Кыя, Гульчо, Ала-Тоо, Жоош, Папан, Кулатов, Кок-Жар и Кюн-Чыгыш на основе дополнительного анализа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утверждении бюджетов органов местного самоуправления осуществление контроля за утверждением их неналоговых доходов на основании  заключенных договоров; внесение изменений в части расчета выравнивающих грантов в соответствии с пунктом 10 Порядка определения объемов выравнивающих трансфертов; </w:t>
            </w:r>
            <w:r>
              <w:rPr>
                <w:rFonts w:ascii="Arial" w:cs="Arial" w:eastAsia="Arial" w:hAnsi="Arial"/>
                <w:sz w:val="24"/>
                <w:szCs w:val="24"/>
              </w:rPr>
              <w:t xml:space="preserve">автоматизация процесса планирования  и прогнозирования доходов;  направление писем в районные государственные администрации и указанные айыл окмоту районным государственным администрациям и указанным айыл окмоту о вопросе финансирования из республиканского бюджета в качестве выравнивающего гранта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IV квартал 2025 года</w:t>
            </w:r>
            <w:r>
              <w:rPr>
                <w:rFonts w:ascii="Arial" w:cs="Arial" w:eastAsia="Arial" w:hAnsi="Arial"/>
                <w:sz w:val="24"/>
                <w:szCs w:val="24"/>
              </w:rPr>
              <w:t xml:space="preserve">IV квартал 2025 года</w:t>
            </w: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принять меры по укреплению систем финансового планирования и мониторинга для обеспечения своевременного и полного использования трансфертов, выделенных на развитие городов; </w:t>
            </w:r>
            <w:r>
              <w:rPr>
                <w:rFonts w:ascii="Arial" w:cs="Arial" w:eastAsia="Arial" w:hAnsi="Arial"/>
                <w:sz w:val="24"/>
                <w:szCs w:val="24"/>
              </w:rPr>
              <w:t xml:space="preserve">– в дальнейшем осуществлять контроль за использованием средств, выяснять причины неосвоения средств и принимать меры по их использованию</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Укрепление систем финансового планирования и мониторинга для обеспечения своевременного и полного освоения трансфертов, выделяемых на развитие городов;</w:t>
            </w:r>
            <w:r>
              <w:rPr>
                <w:rFonts w:ascii="Arial" w:cs="Arial" w:eastAsia="Arial" w:hAnsi="Arial"/>
                <w:sz w:val="24"/>
                <w:szCs w:val="24"/>
              </w:rPr>
              <w:t xml:space="preserve">выявление причин неосвоения средств и принятие мер по их использованию</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 необходимо предоставлять реальные заявки в МФ в соответствии с потребностями, в связи с неосвоением выделенных средств из-за позднего открытия или неоткрытия детских садов в соответствии с распоряжением КМ КР от 28 октября 2024 года 
  № 680-р</w:t>
            </w:r>
            <w:r>
              <w:rPr>
                <w:rFonts w:ascii="Arial" w:cs="Arial" w:eastAsia="Arial" w:hAnsi="Arial"/>
                <w:sz w:val="24"/>
                <w:szCs w:val="24"/>
              </w:rPr>
              <w:t xml:space="preserve">МФ обоснованность заявок, представленных Минпросвещением на финансирование оплаты труда в новых государственных и муниципальных дошкольных образовательных организациях, и других мер, связанных с увеличением охвата детей дошкольным образованием, должна быть определена и профинансирована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представление реальных заявок в МФ в соответствии с распоряжением КМ КР от 28 октября 2024 года № 680-р; </w:t>
            </w:r>
            <w:r>
              <w:rPr>
                <w:rFonts w:ascii="Arial" w:cs="Arial" w:eastAsia="Arial" w:hAnsi="Arial"/>
                <w:sz w:val="24"/>
                <w:szCs w:val="24"/>
              </w:rPr>
              <w:t xml:space="preserve">определение обоснованности заявок, представленных Минпросвещением, на финансирование фонда оплаты труда новых государственных и муниципальных дошкольных образовательных организаций и других мер, связанных с увеличением охвата детей дошкольным образованием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w:t>
            </w:r>
            <w:r>
              <w:rPr>
                <w:rFonts w:ascii="Arial" w:cs="Arial" w:eastAsia="Arial" w:hAnsi="Arial"/>
                <w:sz w:val="24"/>
                <w:szCs w:val="24"/>
              </w:rPr>
              <w:t xml:space="preserve">постоянной основе</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Минпросвещения</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возврат в республиканский бюджет неиспользованных средств в размере 10 242,3 тыс. сомов муниципальным предприятием «Бишкекское городское транспортное управление»</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возврата в республиканский бюджет неиспользованных средств в размере            10 242,3 тыс. сомов муниципальным предприятием «Бишкекское городское транспортное управление»</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фактически произведенная часть расходов целевого трансферта ГП «Бишкекская ТЭЦ» должна отражаться в составе собственного капитала предприятия в качестве взноса учредителя с внесением соответствующих корректировок в бухгалтерский учет предприятия в 2025 году;</w:t>
            </w:r>
            <w:r>
              <w:rPr>
                <w:rFonts w:ascii="Arial" w:cs="Arial" w:eastAsia="Arial" w:hAnsi="Arial"/>
                <w:sz w:val="24"/>
                <w:szCs w:val="24"/>
              </w:rPr>
              <w:t xml:space="preserve">– после окончательных расчетов с компанией «Tebian Elektric Apparatus Stock Co, LTD» неиспользованная часть целевого трансферта в размере 223 421,4 тыс. сомов должна быть перечислена ГП «Бишкекская ТЭЦ» в республиканский бюджет</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Отражение фактически произведенной части расходов целевого трансферта ГП «Бишкекская ТЭЦ» в качестве взноса учредителя с внесением соответствующих корректировок в бухгалтерский учет предприятия в 2025 году;</w:t>
            </w:r>
            <w:r>
              <w:rPr>
                <w:rFonts w:ascii="Arial" w:cs="Arial" w:eastAsia="Arial" w:hAnsi="Arial"/>
                <w:sz w:val="24"/>
                <w:szCs w:val="24"/>
              </w:rPr>
              <w:t xml:space="preserve">после окончательных расчетов с компанией Tebian Elektric Apparatus Stock Co, LTD осуществление перечисления ГП «Бишкекская ТЭС» неиспользованной части целевого трансферта на сумму 223 421,4 тыс. сомов в республиканский бюджет</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r>
              <w:rPr>
                <w:rFonts w:ascii="Arial" w:cs="Arial" w:eastAsia="Arial" w:hAnsi="Arial"/>
                <w:sz w:val="24"/>
                <w:szCs w:val="24"/>
              </w:rPr>
              <w:t xml:space="preserve">I квартал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финансирование расходов на потребление электроэнергии учреждениями, состоящими на финансировании в местных бюджетах, осуществлять только на основании лимита, утвержденного совместным приказом МЭК № 01–13/231 и МФ           № 138-П от 14 ноября 2023 года;</w:t>
            </w:r>
            <w:r>
              <w:rPr>
                <w:rFonts w:ascii="Arial" w:cs="Arial" w:eastAsia="Arial" w:hAnsi="Arial"/>
                <w:sz w:val="24"/>
                <w:szCs w:val="24"/>
              </w:rPr>
              <w:t xml:space="preserve">– усилить меры по точному определению и утверждению лимитов потребления энергетических ресурсов организациями с одновременным проведением мероприятий по предотвращению избыточного финансирования; </w:t>
            </w:r>
            <w:r>
              <w:rPr>
                <w:rFonts w:ascii="Arial" w:cs="Arial" w:eastAsia="Arial" w:hAnsi="Arial"/>
                <w:sz w:val="24"/>
                <w:szCs w:val="24"/>
              </w:rPr>
              <w:t xml:space="preserve">– необходимо осуществлять мониторинг финансирования районных государственных администраций и постоянный контроль за соблюдением лимитов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Соблюдение совместного приказа МЭК № 01–13/231 и МФ № 138-П 
  от 14 ноября 2023 года;</w:t>
            </w:r>
            <w:r>
              <w:rPr>
                <w:rFonts w:ascii="Arial" w:cs="Arial" w:eastAsia="Arial" w:hAnsi="Arial"/>
                <w:sz w:val="24"/>
                <w:szCs w:val="24"/>
              </w:rPr>
              <w:t xml:space="preserve">четкое определение лимитов в финансировании потребляемых энергетических ресурсов учреждений;</w:t>
            </w:r>
            <w:r>
              <w:rPr>
                <w:rFonts w:ascii="Arial" w:cs="Arial" w:eastAsia="Arial" w:hAnsi="Arial"/>
                <w:sz w:val="24"/>
                <w:szCs w:val="24"/>
              </w:rPr>
              <w:t xml:space="preserve">осуществление контроля за соблюдением лимитов при финансировании районных государственных администраций из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вернуть в республиканский бюджет остаток сэкономленных Управлением муниципальной собственности города Каракол целевых трансфертов на сумму 2 263,8 тыс.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возврата в республиканский бюджет остатка целевых трансфертов в размере 
  2 263,8 тыс. сомов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исполнение и соблюдение пунктов 39, 42, 46, 93 Типового положения О вопросах фондов развития регионов, утвержденного постановлением КМ КР «О вопросах фондов развития регионов» от 11 сентября 2024 года № 554, по фонду развития Баткенской области</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соблюдения пунктов Типового положения О вопросах фондов развития регионов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надлежащий контроль за поступлением денежных средств от реализации полезных ископаемых физическими и юридическими лицами и перечислить в соответствующие бюджеты средства в размере 2 % от реализации полезных ископаемых в общей сумме                   22 852,7 тыс. сомов от 71 субъекта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письма в ГНС о зачислении в республиканский бюджет средств в размере 2 % от реализации полезных ископаемых на сумму                    22 852,7 тыс. сомов и контроль за исполнением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w:t>
            </w:r>
            <w:r>
              <w:rPr>
                <w:rFonts w:ascii="Arial" w:cs="Arial" w:eastAsia="Arial" w:hAnsi="Arial"/>
                <w:sz w:val="24"/>
                <w:szCs w:val="24"/>
              </w:rPr>
              <w:t xml:space="preserve"> целях повышения эффективности стимулирующих грантов и повышения ответственности органов местного самоуправления при реализации проектов территориальным подразделениям МФ провести соответствующие мероприятия по усилению методической помощи, обучения и координации органов местного самоуправления</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обучающих семинаров для органов местного самоуправления, обновление методических пособий, оказание консультационной поддержки и усиление координации через территориальные подразделения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усиление внутреннего контроля в процессе отбора и утверждения проектов, проверку документации по каждому проекту и предварительное отклонение проектов стимулирующих грантов, не соответствующих требованиям:</w:t>
            </w:r>
            <w:r>
              <w:rPr>
                <w:rFonts w:ascii="Arial" w:cs="Arial" w:eastAsia="Arial" w:hAnsi="Arial"/>
                <w:sz w:val="24"/>
                <w:szCs w:val="24"/>
              </w:rPr>
              <w:t xml:space="preserve">– </w:t>
            </w:r>
            <w:r>
              <w:rPr>
                <w:rFonts w:ascii="Arial" w:cs="Arial" w:eastAsia="Arial" w:hAnsi="Arial"/>
                <w:sz w:val="24"/>
                <w:szCs w:val="24"/>
              </w:rPr>
              <w:t xml:space="preserve">при отборе, подготовке и реализации проектов комиссиями обратить внимание на соответствие сроков ремонтно-строительных работ;</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установить в законодательном порядке ответственность членов комиссии по отбору и утверждению проектов и предусмотреть меры ответственности для членов комиссии в случае несоответствия проектов требованиям;</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предусмотреть установку технического валидатора в системе AS </w:t>
            </w:r>
            <w:r>
              <w:rPr>
                <w:rFonts w:ascii="Arial" w:cs="Arial" w:eastAsia="Arial" w:hAnsi="Arial"/>
                <w:sz w:val="24"/>
                <w:szCs w:val="24"/>
              </w:rPr>
              <w:t xml:space="preserve">«</w:t>
            </w:r>
            <w:r>
              <w:rPr>
                <w:rFonts w:ascii="Arial" w:cs="Arial" w:eastAsia="Arial" w:hAnsi="Arial"/>
                <w:sz w:val="24"/>
                <w:szCs w:val="24"/>
              </w:rPr>
              <w:t xml:space="preserve">STIMGRANT</w:t>
            </w:r>
            <w:r>
              <w:rPr>
                <w:rFonts w:ascii="Arial" w:cs="Arial" w:eastAsia="Arial" w:hAnsi="Arial"/>
                <w:sz w:val="24"/>
                <w:szCs w:val="24"/>
              </w:rPr>
              <w:t xml:space="preserve">»</w:t>
            </w:r>
            <w:r>
              <w:rPr>
                <w:rFonts w:ascii="Arial" w:cs="Arial" w:eastAsia="Arial" w:hAnsi="Arial"/>
                <w:sz w:val="24"/>
                <w:szCs w:val="24"/>
              </w:rPr>
              <w:t xml:space="preserve"> (например, автоматическое предупреждение или блокировка в случае несоответствия сроков)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предварительной экспертизы документации каждого проекта, автоматическое отклонение проектов, не отвечающих требованиям; </w:t>
            </w:r>
            <w:r>
              <w:rPr>
                <w:rFonts w:ascii="Arial" w:cs="Arial" w:eastAsia="Arial" w:hAnsi="Arial"/>
                <w:sz w:val="24"/>
                <w:szCs w:val="24"/>
              </w:rPr>
              <w:t xml:space="preserve">проведение анализа и сопоставление календарных планов проектов с графиками строительства на заседаниях комиссии;</w:t>
            </w:r>
            <w:r>
              <w:rPr>
                <w:rFonts w:ascii="Arial" w:cs="Arial" w:eastAsia="Arial" w:hAnsi="Arial"/>
                <w:sz w:val="24"/>
                <w:szCs w:val="24"/>
              </w:rPr>
              <w:t xml:space="preserve">внесение изменений в регламент комиссии и применение мер ответственности в случаях утверждения проектов, не соответствующих требованиям;</w:t>
            </w:r>
            <w:r>
              <w:rPr>
                <w:rFonts w:ascii="Arial" w:cs="Arial" w:eastAsia="Arial" w:hAnsi="Arial"/>
                <w:sz w:val="24"/>
                <w:szCs w:val="24"/>
              </w:rPr>
              <w:t xml:space="preserve">разработка и внедрение функций автоматического оповещения и блокировки в случае несоответствия сроков в системе</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IV квартал 2025 года</w:t>
            </w: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II–III</w:t>
            </w:r>
            <w:r>
              <w:rPr>
                <w:rFonts w:ascii="Arial" w:cs="Arial" w:eastAsia="Arial" w:hAnsi="Arial"/>
                <w:sz w:val="24"/>
                <w:szCs w:val="24"/>
              </w:rPr>
              <w:t xml:space="preserve">кварталы</w:t>
            </w:r>
            <w:r>
              <w:rPr>
                <w:rFonts w:ascii="Arial" w:cs="Arial" w:eastAsia="Arial" w:hAnsi="Arial"/>
                <w:sz w:val="24"/>
                <w:szCs w:val="24"/>
              </w:rPr>
              <w:t xml:space="preserve">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w:t>
            </w: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Разработать механизмы, позволяющие обновлять функционал системы AS </w:t>
            </w:r>
            <w:r>
              <w:rPr>
                <w:rFonts w:ascii="Arial" w:cs="Arial" w:eastAsia="Arial" w:hAnsi="Arial"/>
                <w:sz w:val="24"/>
                <w:szCs w:val="24"/>
              </w:rPr>
              <w:t xml:space="preserve">«</w:t>
            </w:r>
            <w:r>
              <w:rPr>
                <w:rFonts w:ascii="Arial" w:cs="Arial" w:eastAsia="Arial" w:hAnsi="Arial"/>
                <w:sz w:val="24"/>
                <w:szCs w:val="24"/>
              </w:rPr>
              <w:t xml:space="preserve">STIMGRANT</w:t>
            </w:r>
            <w:r>
              <w:rPr>
                <w:rFonts w:ascii="Arial" w:cs="Arial" w:eastAsia="Arial" w:hAnsi="Arial"/>
                <w:sz w:val="24"/>
                <w:szCs w:val="24"/>
              </w:rPr>
              <w:t xml:space="preserve">»</w:t>
            </w:r>
            <w:r>
              <w:rPr>
                <w:rFonts w:ascii="Arial" w:cs="Arial" w:eastAsia="Arial" w:hAnsi="Arial"/>
                <w:sz w:val="24"/>
                <w:szCs w:val="24"/>
              </w:rPr>
              <w:t xml:space="preserve"> для ввода отчетов по завершенным проектам, перенесенным в архив, с целью обеспечения возможности ввода отчетов в конце года:</w:t>
            </w:r>
            <w:r>
              <w:rPr>
                <w:rFonts w:ascii="Arial" w:cs="Arial" w:eastAsia="Arial" w:hAnsi="Arial"/>
                <w:sz w:val="24"/>
                <w:szCs w:val="24"/>
              </w:rPr>
              <w:t xml:space="preserve"> </w:t>
            </w:r>
            <w:r>
              <w:rPr>
                <w:rFonts w:ascii="Arial" w:cs="Arial" w:eastAsia="Arial" w:hAnsi="Arial"/>
                <w:sz w:val="24"/>
                <w:szCs w:val="24"/>
              </w:rPr>
              <w:t xml:space="preserve">– при утверждении перечня проектов, подлежащих финансированию за счет стимулирующих грантов на 2025 год, в приоритетном порядке рассмотреть и включить в перечень незавершенные проекты, финансировавшиеся за счет стимулирующих грантов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обновления системы и внесения отчетов по выполнению проектов, переданных в архив;</w:t>
            </w:r>
            <w:r>
              <w:rPr>
                <w:rFonts w:ascii="Arial" w:cs="Arial" w:eastAsia="Arial" w:hAnsi="Arial"/>
                <w:sz w:val="24"/>
                <w:szCs w:val="24"/>
              </w:rPr>
              <w:t xml:space="preserve">рассмотрение незавершенных проектов в приоритетном порядке и включение их в список финансирования на                    2026 год на общую сумму 81 192,6 тыс. сомов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r>
              <w:rPr>
                <w:rFonts w:ascii="Arial" w:cs="Arial" w:eastAsia="Arial" w:hAnsi="Arial"/>
                <w:sz w:val="24"/>
                <w:szCs w:val="24"/>
              </w:rPr>
              <w:t xml:space="preserve">II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22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4314"/>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при проверке и утверждении проектов органов местного самоуправления обратить внимание на соответствие требованиям налогового законодательства;</w:t>
            </w:r>
          </w:p>
          <w:p>
            <w:pPr>
              <w:jc w:val="left"/>
            </w:pPr>
            <w:r>
              <w:rPr>
                <w:rFonts w:ascii="Arial" w:cs="Arial" w:eastAsia="Arial" w:hAnsi="Arial"/>
                <w:sz w:val="24"/>
                <w:szCs w:val="24"/>
              </w:rPr>
              <w:t xml:space="preserve">– рассмотреть вопрос о возврате в республиканский бюджет сумм единого налога в размере 11 988,9 тыс. сомов, необоснованно начисленных и излишне выплаченных подрядным организациям в качестве стимулирующих грантов по результатам проверки</w:t>
            </w:r>
          </w:p>
          <w:p>
            <w:pPr>
              <w:jc w:val="left"/>
            </w:pPr>
            <w:r>
              <w:rPr>
                <w:rFonts w:ascii="Arial" w:cs="Arial" w:eastAsia="Arial" w:hAnsi="Arial"/>
                <w:sz w:val="24"/>
                <w:szCs w:val="24"/>
              </w:rPr>
              <w:t xml:space="preserve"/>
            </w:r>
          </w:p>
        </w:tc>
        <w:tc>
          <w:tcPr>
            <w:tcW w:type="dxa" w:w="300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предварительного анализа налогового законодательства при рассмотрении проектов органов местного самоуправления;</w:t>
            </w:r>
            <w:r>
              <w:rPr>
                <w:rFonts w:ascii="Arial" w:cs="Arial" w:eastAsia="Arial" w:hAnsi="Arial"/>
                <w:sz w:val="24"/>
                <w:szCs w:val="24"/>
              </w:rPr>
              <w:t xml:space="preserve">направление циркулярных писем о возврате в республиканский бюджет сумм единого налога в размере                           11 988,9 тыс. сомов</w:t>
            </w:r>
          </w:p>
        </w:tc>
        <w:tc>
          <w:tcPr>
            <w:tcW w:type="dxa" w:w="116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r>
              <w:rPr>
                <w:rFonts w:ascii="Arial" w:cs="Arial" w:eastAsia="Arial" w:hAnsi="Arial"/>
                <w:sz w:val="24"/>
                <w:szCs w:val="24"/>
              </w:rPr>
              <w:t xml:space="preserve">В течение</w:t>
            </w:r>
            <w:r>
              <w:rPr>
                <w:rFonts w:ascii="Arial" w:cs="Arial" w:eastAsia="Arial" w:hAnsi="Arial"/>
                <w:sz w:val="24"/>
                <w:szCs w:val="24"/>
              </w:rPr>
              <w:t xml:space="preserve">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 принять меры по возмещению в республиканский бюджет завышенных объемов выполненных работ на сумму 3 846,6 тыс. сомов по ответственным органам местного самоуправления, указанным в
  приложении 6 к отчету;</w:t>
            </w:r>
            <w:r>
              <w:rPr>
                <w:rFonts w:ascii="Arial" w:cs="Arial" w:eastAsia="Arial" w:hAnsi="Arial"/>
                <w:sz w:val="24"/>
                <w:szCs w:val="24"/>
              </w:rPr>
              <w:t xml:space="preserve">– в соглашениях о получении и использовании грантовых средств предусмотреть дополнительные требования и ответственность по возмещению в случаях необоснованного или нецелевого использования средств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циркулярных писем в органы местного самоуправления о возмещении в республиканский бюджет завышенных объемов выполненных работ на сумму 3 846,6 тыс. сомов;</w:t>
            </w:r>
            <w:r>
              <w:rPr>
                <w:rFonts w:ascii="Arial" w:cs="Arial" w:eastAsia="Arial" w:hAnsi="Arial"/>
                <w:sz w:val="24"/>
                <w:szCs w:val="24"/>
              </w:rPr>
              <w:t xml:space="preserve">рассмотрение дополнительных требований и ответственности по возмещению в случаях необоснованного или нецелевого использования средств в соглашениях о получении и использовании грантовых средств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2025 года</w:t>
            </w: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Госимуществу обеспечить заключение договора об обязательном залоге по бюджетным кредитам ОАО «Кыргызиндустрия» в соответствии с требованиями Положения «О порядке работы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 разработанного ФКФ при МФ </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требованиями Положения «О порядке работы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 утвержденного ФКФ при МФ, заключение договора об обязательном залоге по бюджетным кредитам ОАО «Кыргызиндустрия»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Госимущество</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ГП «Военно-подсобное хозяйство «Тамга» возвратить бюджетные средства в размере                 25,3 млн сомов на сберегательный счет Правительства Китайской Народной Республики согласно утвержденному новому графику;</w:t>
            </w:r>
            <w:r>
              <w:rPr>
                <w:rFonts w:ascii="Arial" w:cs="Arial" w:eastAsia="Arial" w:hAnsi="Arial"/>
                <w:sz w:val="24"/>
                <w:szCs w:val="24"/>
              </w:rPr>
              <w:t xml:space="preserve">– ФКФ при МФ обеспечить выполнение требований Положения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 а именно: получение трехлетней финансовой отчетности, анализ платежеспособности и предоставление заключения (положительного или отрицательного)</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своевременного погашения задолженности ГП «Военно-подсобное хозяйство «Тамга»;</w:t>
            </w:r>
            <w:r>
              <w:rPr>
                <w:rFonts w:ascii="Arial" w:cs="Arial" w:eastAsia="Arial" w:hAnsi="Arial"/>
                <w:sz w:val="24"/>
                <w:szCs w:val="24"/>
              </w:rPr>
              <w:t xml:space="preserve">осуществление работы в соответствии с требованиями Положения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провести мероприятия по изменению критериев предоставления бюджетных кредитов государственным предприятиям</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соответствующих изменений в Положение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 1 июлю </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в целях недопущения дополнительных расходов республиканского бюджета принять меры по возмещению максимально возможной суммы предоставленных кредитов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работ по принудительному взысканию просроченной задолженности в установленном порядке;</w:t>
            </w:r>
            <w:r>
              <w:rPr>
                <w:rFonts w:ascii="Arial" w:cs="Arial" w:eastAsia="Arial" w:hAnsi="Arial"/>
                <w:sz w:val="24"/>
                <w:szCs w:val="24"/>
              </w:rPr>
              <w:t xml:space="preserve">в случае признания банкротом совместно со специальными администраторами проведение работы по учету имущества и дебиторской задолженности должника в установленном порядке</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проведение анализа и мониторинга в части своевременного освоения средств заемщиками по субкредитным соглашениям с усилением ответственности за недопущение дополнительных расходов бюджета, связанных с оплатой комиссии за неосвоенную часть кредита, предоставленного ФКФ при МФ, и выплатой штрафов за несвоевременную оплату</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Анализ и мониторинг своевременного освоения средств заемщиками по субкредитным соглашениям</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исполнение обязательств по заключению договоров в срок в части выполнения требований Положения о работе с бюджетными кредитами, предоставляемыми из республиканского бюджета, утвержденного постановлением КМ КР «Об утверждении Положения о работе с бюджетными кредитами, предоставляемыми из республиканского бюджета» от 29 июля 2022 года № 406</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Своевременное заключение договоров залога с бюджетными заемщиками для обеспечения обязательств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Принять меры по возврату просроченной задолженности грантополучателей по грантовым средствам Правительства Японии в сумме                            383,8 млн сомов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пунктом 7 распоряжения КМ КР от 17 июля                    2025 года № 424 о проведении работ по взысканию задолженности по кредитам, выданным по грантовым средствам Правительства Японии через ОАО микрокредитная компания «Фонд развития предпринимательства»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Нецелевым образом использованные МФ                 268,8 тыс. сомов за счет средств проекта «Поддержка микро, малых и средних предприятий (COVID-19)» восстановить в республиканском бюджете из средств специального счета МФ</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Восстановление в республиканский бюджет 268,8 тыс. сомов, нецелесообразно использованных МФ за счет средств проекта «Поддержка микро-малых и средних предприятий (COVID-19)»</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при составлении отчета об исполнении республиканского бюджета должна быть обеспечена достоверность в части фактических расходов по средствам проектов государственных инвестиций:</w:t>
            </w:r>
            <w:r>
              <w:rPr>
                <w:rFonts w:ascii="Arial" w:cs="Arial" w:eastAsia="Arial" w:hAnsi="Arial"/>
                <w:sz w:val="24"/>
                <w:szCs w:val="24"/>
              </w:rPr>
              <w:t xml:space="preserve">– рассмотреть вопрос о соответствии занимаемой должности начальника управления международного сотрудничества МФ, допустившего искажение отчета об исполнении республиканского бюджета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 части фактических расходов по средствам проектов государственных инвестиций при составлении отчета об исполнении республиканского бюджета;</w:t>
            </w:r>
            <w:r>
              <w:rPr>
                <w:rFonts w:ascii="Arial" w:cs="Arial" w:eastAsia="Arial" w:hAnsi="Arial"/>
                <w:sz w:val="24"/>
                <w:szCs w:val="24"/>
              </w:rPr>
              <w:t xml:space="preserve">рассмотрение о соответствии занимаемой должности начальника управления международного сотрудничества МФ, допустившего искажение отчета об исполнении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обеспечить первоочередное освоение защищенных статей расходов республиканского бюджета во исполнение БК КР, Закона КР 
  «О республиканском бюджете» на соответствующий год</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первоочередного освоения статей защищенных расходов из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усилить ответственность распорядителей бюджетных средств за неполное освоение утвержденных бюджетных ассигнований: </w:t>
            </w:r>
            <w:r>
              <w:rPr>
                <w:rFonts w:ascii="Arial" w:cs="Arial" w:eastAsia="Arial" w:hAnsi="Arial"/>
                <w:sz w:val="24"/>
                <w:szCs w:val="24"/>
              </w:rPr>
              <w:t xml:space="preserve">– в целях своевременного принятия мер по сокращению кредиторской задолженности необходимо осуществлять постоянный мониторинг и анализ состояния кредиторской задолженности</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мониторинга и
  оценки уровня ответственности наряду с проведением собраний по разъяснению норм ответственности для распорядителей бюджетных средств; проведение регулярного мониторинга и анализа с целью сокращения кредитной задолженности</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2026 года</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рассмотреть вопрос о закрытии расчетных счетов Минстроя (включая его подведомственные управления, территориальные подразделения и иные учреждения), находящихся вне казначейства, и переводе остатков средств на ЕКС</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Закрытие внеказначейских расчетных счетов и перечисление остатков средств на ЕКС</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sz w:val="24"/>
                <w:szCs w:val="24"/>
              </w:rPr>
              <w:t xml:space="preserve">Минстрой</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совместно с ЗАО «Межбанковский Процессинговый центр» провести сверку остатков средств на картах «Получателя бюджетных средств» (ПБС) по состоянию на 31 декабря 2024 года, обеспечить перечисление неиспользованных остатков бюджетных средств на картах ПБС на счета соответствующих бюджетов</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сверки остатков средств на картах «Получатель бюджетных средств» (ПБС) по состоянию на                     31 декабря 2024 года и перечислить неиспользованные остатки бюджетных средств на картах ПБС на счета соответствующих бюджетов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целях обеспечения прозрачности, обоснованности и эффективности при размещении временно свободных бюджетных средств определение первоначальной процентной ставки должно обеспечиваться с учетом ставок НБ КР по депозитным операциям</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определении начальной процентной ставки рассмотреть возможность учета ставок НБ КР по депозитным операциям согласно постановлению КМ КР «Об утверждении Порядка размещения в коммерческих банках временно свободных средств бюджетов бюджетной системы Кыргызской Республики» от 11 марта 
  2022 года № 135</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49</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рассмотреть вопрос о внесении соответствующих изменений в Порядок размещения временно свободных средств бюджетов бюджетной системы КР в коммерческие банки, утвержденный постановлением КМ КР «Об утверждении Порядка размещения в коммерческих банках временно свободных средств бюджетов бюджетной системы Кыргызской Республики» от 11 марта 2022 года № 135, в целях совершенствования работы конкурсной комиссии по отбору коммерческих банков для размещения временно свободных средств бюджетов бюджетной системы КР:</w:t>
            </w:r>
            <w:r>
              <w:rPr>
                <w:rFonts w:ascii="Arial" w:cs="Arial" w:eastAsia="Arial" w:hAnsi="Arial"/>
                <w:sz w:val="24"/>
                <w:szCs w:val="24"/>
              </w:rPr>
              <w:t xml:space="preserve">– четкое и письменное обоснование каждого решения и причин отклонения конкурсных предложений изложить в протоколе конкурсной комиссии</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Рассмотрение вопроса о внесении соответствующих изменений в порядок размещения временно свободных средств бюджетов бюджетной системы КР в коммерческих банках, утвержденный постановлением КМ КР «Об утверждении Порядка размещения в коммерческих банках временно свободных средств бюджетов бюджетной системы Кыргызской Республики» от 11 марта 2022 года       № 135; </w:t>
            </w:r>
            <w:r>
              <w:rPr>
                <w:rFonts w:ascii="Arial" w:cs="Arial" w:eastAsia="Arial" w:hAnsi="Arial"/>
                <w:sz w:val="24"/>
                <w:szCs w:val="24"/>
              </w:rPr>
              <w:t xml:space="preserve">в протоколе конкурсной комиссии должны быть четко и письменно отражены каждое решение и основания для отклонения конкурсных предложений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2026 года</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 обязать МФ регулярно отчитываться о состоянии и результатах своп-операций, включая информацию о рисках и финансовых результатах</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Регулярное предоставление отчетов о состоянии и результатах своп-операций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 КР,</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разработать методику оценки экономической целесообразности своп-операций, учитывающую все возможные риски и выгоды, включая мультипликативный эффект от предоставления кредитов;</w:t>
            </w:r>
            <w:r>
              <w:rPr>
                <w:rFonts w:ascii="Arial" w:cs="Arial" w:eastAsia="Arial" w:hAnsi="Arial"/>
                <w:sz w:val="24"/>
                <w:szCs w:val="24"/>
              </w:rPr>
              <w:t xml:space="preserve">– рассмотреть возможность использования дополнительных инструментов для хеджирования валютных рисков, связанных с долгосрочными своп- операциями;</w:t>
            </w:r>
            <w:r>
              <w:rPr>
                <w:rFonts w:ascii="Arial" w:cs="Arial" w:eastAsia="Arial" w:hAnsi="Arial"/>
                <w:sz w:val="24"/>
                <w:szCs w:val="24"/>
              </w:rPr>
              <w:t xml:space="preserve">– установить систему постоянного мониторинга и анализа динамики обменных курсов других основных валют и доллара США, чтобы своевременно принимать решения по корректировке стратегии своп-операций; </w:t>
            </w:r>
            <w:r>
              <w:rPr>
                <w:rFonts w:ascii="Arial" w:cs="Arial" w:eastAsia="Arial" w:hAnsi="Arial"/>
                <w:sz w:val="24"/>
                <w:szCs w:val="24"/>
              </w:rPr>
              <w:t xml:space="preserve">– рассмотреть возможность введения переменной процентной ставки, корректируемой в зависимости от среднегодового изменения валютного курса</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методики оценки экономической целесообразности своп-операций.</w:t>
            </w:r>
            <w:r>
              <w:rPr>
                <w:rFonts w:ascii="Arial" w:cs="Arial" w:eastAsia="Arial" w:hAnsi="Arial"/>
                <w:sz w:val="24"/>
                <w:szCs w:val="24"/>
              </w:rPr>
              <w:t xml:space="preserve">Рассмотрение возможностей хеджирования валютных рисков, связанных с долгосрочными своп-операциями.</w:t>
            </w:r>
            <w:r>
              <w:rPr>
                <w:rFonts w:ascii="Arial" w:cs="Arial" w:eastAsia="Arial" w:hAnsi="Arial"/>
                <w:sz w:val="24"/>
                <w:szCs w:val="24"/>
              </w:rPr>
              <w:t xml:space="preserve">Рассмотрение возможности мониторинга динамики основных валютных курсов.</w:t>
            </w:r>
            <w:r>
              <w:rPr>
                <w:rFonts w:ascii="Arial" w:cs="Arial" w:eastAsia="Arial" w:hAnsi="Arial"/>
                <w:sz w:val="24"/>
                <w:szCs w:val="24"/>
              </w:rPr>
              <w:t xml:space="preserve">Рассмотрение возможности введения плавающей процентной ставки, корректируемой с учетом валютных курсов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2025 года</w:t>
            </w:r>
            <w:r>
              <w:rPr>
                <w:rFonts w:ascii="Arial" w:cs="Arial" w:eastAsia="Arial" w:hAnsi="Arial"/>
                <w:sz w:val="24"/>
                <w:szCs w:val="24"/>
              </w:rPr>
              <w:t xml:space="preserve">В течение</w:t>
            </w:r>
            <w:r>
              <w:rPr>
                <w:rFonts w:ascii="Arial" w:cs="Arial" w:eastAsia="Arial" w:hAnsi="Arial"/>
                <w:sz w:val="24"/>
                <w:szCs w:val="24"/>
              </w:rPr>
              <w:t xml:space="preserve">2026 года</w:t>
            </w:r>
            <w:r>
              <w:rPr>
                <w:rFonts w:ascii="Arial" w:cs="Arial" w:eastAsia="Arial" w:hAnsi="Arial"/>
                <w:sz w:val="24"/>
                <w:szCs w:val="24"/>
              </w:rPr>
              <w:t xml:space="preserve">В течение</w:t>
            </w:r>
            <w:r>
              <w:rPr>
                <w:rFonts w:ascii="Arial" w:cs="Arial" w:eastAsia="Arial" w:hAnsi="Arial"/>
                <w:sz w:val="24"/>
                <w:szCs w:val="24"/>
              </w:rPr>
              <w:t xml:space="preserve">2025 года</w:t>
            </w: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52</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при осуществлении дополнительных расходов из утвержденного бюджета, с внесением соответствующих изменений в утвержденные параметры республиканского бюджета, строго соблюдать требования статьи 115 БК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Соблюдение требований статьи 115               БК КР при проведении дополнительных расходов из утвержденного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53</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 повторно направить в КМ КР отчет об исполнении республиканского бюджета за 2024 год, содержащий информацию о состоянии дебиторской и кредиторской задолженности бюджетных учреждений в соответствии с требованиями статьи 116 БК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информации об исполнении республиканского бюджета по состоянию дебиторской и кредиторской задолженности бюджетных учреждений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2025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54</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 обеспечить точное выполнение требований Положения «О работе структурных подразделений Министерства финансов Кыргызской Республики в процессе кассового исполнения бюджетов бюджетной системы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утвержденного приказом МФ от 4 мая 2021 года № 61-П;</w:t>
            </w:r>
            <w:r>
              <w:rPr>
                <w:rFonts w:ascii="Arial" w:cs="Arial" w:eastAsia="Arial" w:hAnsi="Arial"/>
                <w:sz w:val="24"/>
                <w:szCs w:val="24"/>
              </w:rPr>
              <w:t xml:space="preserve">– обеспечить указание уважительных причин и обязательную регистрацию по каждому случаю отклонения заявок на подтверждение кассовых расходов бюджетных учреждений</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выполнения требований Положения «О работе структурных подразделений Министерства финансов Кыргызской Республики в процессе кассового исполнения бюджетов бюджетной системы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утвержденного приказом МФ от 4 мая 2021 года № 61-П.</w:t>
            </w:r>
            <w:r>
              <w:rPr>
                <w:rFonts w:ascii="Arial" w:cs="Arial" w:eastAsia="Arial" w:hAnsi="Arial"/>
                <w:sz w:val="24"/>
                <w:szCs w:val="24"/>
              </w:rPr>
              <w:t xml:space="preserve">Обеспечение указания уважительных причин при отклонении заявлений бюджетных учреждений по подтверждению кассовых расходов</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целях точного и своевременного выполнения требований пункта 2 статьи 3 Закона КР                                     «О бухгалтерском учете» организовать для соответствующих сотрудников государственных органов мероприятия по повышению профессионального уровня</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обучения по повышению профессионального уровня соответствующих работников государственных органов в целях исполнения Закона КР 
  «О бухгалтерском учете»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56</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Принять меры по перечислению в доход республиканского бюджета процентных доходов в размере 31 531,5 тыс. сомов, начисленных на остатки средств на счетах ЦК в коммерческих банках</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мер по перечислению процентных доходов в размере
  31 531,5 тыс. сомов в доход республиканского бюджета </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w:t>
            </w:r>
            <w:r>
              <w:rPr>
                <w:rFonts w:ascii="Arial" w:cs="Arial" w:eastAsia="Arial" w:hAnsi="Arial"/>
                <w:sz w:val="24"/>
                <w:szCs w:val="24"/>
              </w:rPr>
              <w:t xml:space="preserve">2026 года</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57</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работу и контроль за соблюдением требований статьи 28 БК КР и пункта 7 Положения 
  «О формировании перечня инвестиционных проектов, реализуемых в форме капитальных вложений, финансируемых из республиканского бюджета», утвержденного постановлением ПКР «Об утверждении Положения о формировании перечня инвестиционных проектов, реализуемых в форме капитальных вложений, финансируемых из республиканского бюджета» от 30 декабря 2017 года № 855, при отборе и включении объектов в перечень бюджетных инвестиционных проектов в форме капитальных вложений</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работы в соответствии с Положением о формировании перечня инвестиционных проектов, реализуемых в форме капитальных вложений, финансируемых из республиканского бюджета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постоянной основе</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44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58</w:t>
            </w:r>
          </w:p>
        </w:tc>
        <w:tc>
          <w:tcPr>
            <w:tcW w:type="dxa" w:w="4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Размещать на официальном веб-сайте МФ перечень проектов бюджетных инвестиций в форме капитальных вложений с соответствующей информацией в соответствии со статьей 6 БК КР</w:t>
            </w:r>
          </w:p>
        </w:tc>
        <w:tc>
          <w:tcPr>
            <w:tcW w:type="dxa" w:w="30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Ежеквартальное размещение на официальном сайте МФ информации о финансировании инвестиционных проектов, реализуемых в форме капитальных вложений</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c>
          <w:tcPr>
            <w:tcW w:type="dxa" w:w="1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МФ</w:t>
            </w:r>
          </w:p>
        </w:tc>
      </w:tr>
      <w:tr>
        <w:tc>
          <w:tcPr>
            <w:tcW w:type="dxa" w:w="2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sz w:val="24"/>
          <w:szCs w:val="24"/>
        </w:rPr>
        <w:t xml:space="preserve">БК КР</w:t>
      </w:r>
      <w:r>
        <w:rPr>
          <w:rFonts w:ascii="Arial" w:cs="Arial" w:eastAsia="Arial" w:hAnsi="Arial"/>
          <w:sz w:val="24"/>
          <w:szCs w:val="24"/>
        </w:rPr>
        <w:t xml:space="preserve">	</w:t>
      </w:r>
      <w:r>
        <w:rPr>
          <w:rFonts w:ascii="Arial" w:cs="Arial" w:eastAsia="Arial" w:hAnsi="Arial"/>
          <w:sz w:val="24"/>
          <w:szCs w:val="24"/>
        </w:rPr>
        <w:t xml:space="preserve">Бюджетный кодекс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sz w:val="24"/>
          <w:szCs w:val="24"/>
        </w:rPr>
        <w:t xml:space="preserve">ГНС </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Кабинете Министров Кыргызской Республики</w:t>
      </w:r>
    </w:p>
    <w:p>
      <w:pPr>
        <w:tabs>
          <w:tab w:val="right" w:pos="10178"/>
        </w:tabs>
        <w:spacing w:after="120"/>
      </w:pPr>
      <w:r>
        <w:rPr>
          <w:rFonts w:ascii="Arial" w:cs="Arial" w:eastAsia="Arial" w:hAnsi="Arial"/>
          <w:sz w:val="24"/>
          <w:szCs w:val="24"/>
        </w:rPr>
        <w:t xml:space="preserve">Госимущество </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sz w:val="24"/>
          <w:szCs w:val="24"/>
        </w:rPr>
        <w:t xml:space="preserve">ГАГА</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sz w:val="24"/>
          <w:szCs w:val="24"/>
        </w:rPr>
        <w:t xml:space="preserve">ЕКС</w:t>
      </w:r>
      <w:r>
        <w:rPr>
          <w:rFonts w:ascii="Arial" w:cs="Arial" w:eastAsia="Arial" w:hAnsi="Arial"/>
          <w:sz w:val="24"/>
          <w:szCs w:val="24"/>
        </w:rPr>
        <w:t xml:space="preserve">ЗАО</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r>
        <w:rPr>
          <w:rFonts w:ascii="Arial" w:cs="Arial" w:eastAsia="Arial" w:hAnsi="Arial"/>
          <w:sz w:val="24"/>
          <w:szCs w:val="24"/>
        </w:rPr>
        <w:t xml:space="preserve">закрытое акционерное общество</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КМ КР</w:t>
      </w:r>
      <w:r>
        <w:rPr>
          <w:rFonts w:ascii="Arial" w:cs="Arial" w:eastAsia="Arial" w:hAnsi="Arial"/>
          <w:sz w:val="24"/>
          <w:szCs w:val="24"/>
        </w:rPr>
        <w:t xml:space="preserve">	</w:t>
      </w:r>
      <w:r>
        <w:rPr>
          <w:rFonts w:ascii="Arial" w:cs="Arial" w:eastAsia="Arial" w:hAnsi="Arial"/>
          <w:sz w:val="24"/>
          <w:szCs w:val="24"/>
        </w:rPr>
        <w:t xml:space="preserve">Кабинет Министров Кыргызской Республики</w:t>
      </w:r>
    </w:p>
    <w:p>
      <w:pPr>
        <w:tabs>
          <w:tab w:val="right" w:pos="10178"/>
        </w:tabs>
        <w:spacing w:after="120"/>
      </w:pPr>
      <w:r>
        <w:rPr>
          <w:rFonts w:ascii="Arial" w:cs="Arial" w:eastAsia="Arial" w:hAnsi="Arial"/>
          <w:sz w:val="24"/>
          <w:szCs w:val="24"/>
        </w:rPr>
        <w:t xml:space="preserve">Карта ПБС</w:t>
      </w:r>
      <w:r>
        <w:rPr>
          <w:rFonts w:ascii="Arial" w:cs="Arial" w:eastAsia="Arial" w:hAnsi="Arial"/>
          <w:sz w:val="24"/>
          <w:szCs w:val="24"/>
        </w:rPr>
        <w:t xml:space="preserve">КГТУ</w:t>
      </w:r>
      <w:r>
        <w:rPr>
          <w:rFonts w:ascii="Arial" w:cs="Arial" w:eastAsia="Arial" w:hAnsi="Arial"/>
          <w:sz w:val="24"/>
          <w:szCs w:val="24"/>
        </w:rPr>
        <w:t xml:space="preserve">Минстрой</w:t>
      </w:r>
      <w:r>
        <w:rPr>
          <w:rFonts w:ascii="Arial" w:cs="Arial" w:eastAsia="Arial" w:hAnsi="Arial"/>
          <w:sz w:val="24"/>
          <w:szCs w:val="24"/>
        </w:rPr>
        <w:t xml:space="preserve">	</w:t>
      </w:r>
      <w:r>
        <w:rPr>
          <w:rFonts w:ascii="Arial" w:cs="Arial" w:eastAsia="Arial" w:hAnsi="Arial"/>
          <w:sz w:val="24"/>
          <w:szCs w:val="24"/>
        </w:rPr>
        <w:t xml:space="preserve">карта получателя бюджетных средств</w:t>
      </w:r>
      <w:r>
        <w:rPr>
          <w:rFonts w:ascii="Arial" w:cs="Arial" w:eastAsia="Arial" w:hAnsi="Arial"/>
          <w:sz w:val="24"/>
          <w:szCs w:val="24"/>
        </w:rPr>
        <w:t xml:space="preserve">Кыргызский государственный технический университет им. И. Раззакова</w:t>
      </w: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p>
      <w:pPr>
        <w:tabs>
          <w:tab w:val="right" w:pos="10178"/>
        </w:tabs>
        <w:spacing w:after="120"/>
      </w:pPr>
      <w:r>
        <w:rPr>
          <w:rFonts w:ascii="Arial" w:cs="Arial" w:eastAsia="Arial" w:hAnsi="Arial"/>
          <w:sz w:val="24"/>
          <w:szCs w:val="24"/>
        </w:rPr>
        <w:t xml:space="preserve">МКИМП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молодежной политики Кыргызской Республики</w:t>
      </w:r>
    </w:p>
    <w:p>
      <w:pPr>
        <w:tabs>
          <w:tab w:val="right" w:pos="10178"/>
        </w:tabs>
        <w:spacing w:after="120"/>
      </w:pPr>
      <w:r>
        <w:rPr>
          <w:rFonts w:ascii="Arial" w:cs="Arial" w:eastAsia="Arial" w:hAnsi="Arial"/>
          <w:sz w:val="24"/>
          <w:szCs w:val="24"/>
        </w:rPr>
        <w:t xml:space="preserve">МНВОИ</w:t>
      </w:r>
      <w:r>
        <w:rPr>
          <w:rFonts w:ascii="Arial" w:cs="Arial" w:eastAsia="Arial" w:hAnsi="Arial"/>
          <w:sz w:val="24"/>
          <w:szCs w:val="24"/>
        </w:rPr>
        <w:t xml:space="preserve">	</w:t>
      </w:r>
      <w:r>
        <w:rPr>
          <w:rFonts w:ascii="Arial" w:cs="Arial" w:eastAsia="Arial" w:hAnsi="Arial"/>
          <w:sz w:val="24"/>
          <w:szCs w:val="24"/>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sz w:val="24"/>
          <w:szCs w:val="24"/>
        </w:rPr>
        <w:t xml:space="preserve">МЭ </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sz w:val="24"/>
          <w:szCs w:val="24"/>
        </w:rPr>
        <w:t xml:space="preserve">МЗ </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МТК </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sz w:val="24"/>
          <w:szCs w:val="24"/>
        </w:rPr>
        <w:t xml:space="preserve">МЭК </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sz w:val="24"/>
          <w:szCs w:val="24"/>
        </w:rPr>
        <w:t xml:space="preserve">МФ </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МТСОМ </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sz w:val="24"/>
          <w:szCs w:val="24"/>
        </w:rPr>
        <w:t xml:space="preserve">МПРЭТН </w:t>
      </w:r>
      <w:r>
        <w:rPr>
          <w:rFonts w:ascii="Arial" w:cs="Arial" w:eastAsia="Arial" w:hAnsi="Arial"/>
          <w:sz w:val="24"/>
          <w:szCs w:val="24"/>
        </w:rPr>
        <w:t xml:space="preserve">Минпросвещения</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r>
        <w:rPr>
          <w:rFonts w:ascii="Arial" w:cs="Arial" w:eastAsia="Arial" w:hAnsi="Arial"/>
          <w:sz w:val="24"/>
          <w:szCs w:val="24"/>
        </w:rPr>
        <w:t xml:space="preserve">Министерство просвещения Кыргызской Республики</w:t>
      </w:r>
    </w:p>
    <w:p>
      <w:pPr>
        <w:tabs>
          <w:tab w:val="right" w:pos="10178"/>
        </w:tabs>
        <w:spacing w:after="120"/>
      </w:pPr>
      <w:r>
        <w:rPr>
          <w:rFonts w:ascii="Arial" w:cs="Arial" w:eastAsia="Arial" w:hAnsi="Arial"/>
          <w:sz w:val="24"/>
          <w:szCs w:val="24"/>
        </w:rPr>
        <w:t xml:space="preserve">НБ КР</w:t>
      </w:r>
      <w:r>
        <w:rPr>
          <w:rFonts w:ascii="Arial" w:cs="Arial" w:eastAsia="Arial" w:hAnsi="Arial"/>
          <w:sz w:val="24"/>
          <w:szCs w:val="24"/>
        </w:rPr>
        <w:t xml:space="preserve">НК</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национальная компания</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ОсОО</w:t>
      </w:r>
      <w:r>
        <w:rPr>
          <w:rFonts w:ascii="Arial" w:cs="Arial" w:eastAsia="Arial" w:hAnsi="Arial"/>
          <w:sz w:val="24"/>
          <w:szCs w:val="24"/>
        </w:rPr>
        <w:t xml:space="preserve">ПКР</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r>
        <w:rPr>
          <w:rFonts w:ascii="Arial" w:cs="Arial" w:eastAsia="Arial" w:hAnsi="Arial"/>
          <w:sz w:val="24"/>
          <w:szCs w:val="24"/>
        </w:rPr>
        <w:t xml:space="preserve">общество с ограниченной ответственностью</w:t>
      </w:r>
      <w:r>
        <w:rPr>
          <w:rFonts w:ascii="Arial" w:cs="Arial" w:eastAsia="Arial" w:hAnsi="Arial"/>
          <w:sz w:val="24"/>
          <w:szCs w:val="24"/>
        </w:rPr>
        <w:t xml:space="preserve">Правительство Кыргызской Республики</w:t>
      </w:r>
    </w:p>
    <w:p>
      <w:pPr>
        <w:tabs>
          <w:tab w:val="right" w:pos="10178"/>
        </w:tabs>
        <w:spacing w:after="120"/>
      </w:pPr>
      <w:r>
        <w:rPr>
          <w:rFonts w:ascii="Arial" w:cs="Arial" w:eastAsia="Arial" w:hAnsi="Arial"/>
          <w:sz w:val="24"/>
          <w:szCs w:val="24"/>
        </w:rPr>
        <w:t xml:space="preserve">СП </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w:t>
      </w:r>
    </w:p>
    <w:p>
      <w:pPr>
        <w:tabs>
          <w:tab w:val="right" w:pos="10178"/>
        </w:tabs>
        <w:spacing w:after="120"/>
      </w:pPr>
      <w:r>
        <w:rPr>
          <w:rFonts w:ascii="Arial" w:cs="Arial" w:eastAsia="Arial" w:hAnsi="Arial"/>
          <w:sz w:val="24"/>
          <w:szCs w:val="24"/>
        </w:rPr>
        <w:t xml:space="preserve">ТМЦ</w:t>
      </w:r>
      <w:r>
        <w:rPr>
          <w:rFonts w:ascii="Arial" w:cs="Arial" w:eastAsia="Arial" w:hAnsi="Arial"/>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товарно-материальные ценности</w:t>
      </w:r>
      <w:r>
        <w:rPr>
          <w:rFonts w:ascii="Arial" w:cs="Arial" w:eastAsia="Arial" w:hAnsi="Arial"/>
          <w:sz w:val="24"/>
          <w:szCs w:val="24"/>
        </w:rPr>
        <w:t xml:space="preserve">теплоэлектроцентраль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7eg1a6jh6v1nrialjzb2">
      <w:r>
        <w:rPr>
          <w:rFonts w:ascii="Arial" w:cs="Arial" w:eastAsia="Arial" w:hAnsi="Arial"/>
          <w:color w:val="132D3F"/>
          <w:sz w:val="16"/>
          <w:szCs w:val="16"/>
          <w:u w:val="single"/>
        </w:rPr>
        <w:t xml:space="preserve">dalil.kg/document/230031685</w:t>
      </w:r>
    </w:hyperlink>
  </w:p>
  <w:p>
    <w:pPr>
      <w:spacing w:after="0" w:before="40"/>
      <w:jc w:val="center"/>
    </w:pPr>
    <w:hyperlink w:history="1" r:id="rIdhlhvbrgio4pz0_qewm9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6zwno5jdji9gdmqd7le" Type="http://schemas.openxmlformats.org/officeDocument/2006/relationships/hyperlink" Target="https://dalil.kg/document/2300316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7eg1a6jh6v1nrialjzb2" Type="http://schemas.openxmlformats.org/officeDocument/2006/relationships/hyperlink" Target="https://dalil.kg/document/230031685" TargetMode="External"/><Relationship Id="rIdhlhvbrgio4pz0_qewm9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2026-09-27T08:54:30.063Z</dcterms:created>
  <dcterms:modified xsi:type="dcterms:W3CDTF">2026-09-27T08:54:30.063Z</dcterms:modified>
</cp:coreProperties>
</file>

<file path=docProps/custom.xml><?xml version="1.0" encoding="utf-8"?>
<Properties xmlns="http://schemas.openxmlformats.org/officeDocument/2006/custom-properties" xmlns:vt="http://schemas.openxmlformats.org/officeDocument/2006/docPropsVTypes"/>
</file>