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№ 488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реализации требований статей 289, 297, 298 и 299 Налогового кодекса Кыргызской Республики" от 11 марта 2022 года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деятельности и поддержки отечественных производителей, в соответствии со </w:t>
      </w:r>
      <w:hyperlink w:history="1" r:id="rId1omi8kxwopg0b5ngrj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ar0scadfyt9uqtqhviw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tpn8endmcac1yiswb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2ftbobjxm6ppfjynso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реализации требований статей </w:t>
      </w:r>
      <w:hyperlink w:history="1" r:id="rIdbb_qej5xwvpmimg8get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mi2ok4x-ncrzxcr8x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6-pdjnip345-xcx2m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ivahqsbaymegv_fpee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 </w:t>
        </w:r>
      </w:hyperlink>
      <w:r>
        <w:rPr>
          <w:rFonts w:ascii="Arial" w:cs="Arial" w:eastAsia="Arial" w:hAnsi="Arial"/>
          <w:sz w:val="24"/>
          <w:szCs w:val="24"/>
        </w:rPr>
        <w:t xml:space="preserve">Налогового кодекса Кыргызской Республики" от 11 марта 2022 года № 131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ymd0ovyb_l1jj9lur5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двадцать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6"/>
        <w:gridCol w:w="9232"/>
      </w:tblGrid>
      <w:tr>
        <w:tc>
          <w:tcPr>
            <w:tcW w:type="dxa" w:w="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0601 10 300 0</w:t>
            </w:r>
          </w:p>
        </w:tc>
        <w:tc>
          <w:tcPr>
            <w:tcW w:type="dxa" w:w="9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Тюльпаны: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5y46d4md97ijarvyw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dalil.kg/document/230031700</w:t>
      </w:r>
    </w:hyperlink>
  </w:p>
  <w:p>
    <w:pPr>
      <w:spacing w:after="0" w:before="40"/>
      <w:jc w:val="center"/>
    </w:pPr>
    <w:hyperlink w:history="1" r:id="rIdzgxlkopb2axlmevpu_9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mi8kxwopg0b5ngrjxid" Type="http://schemas.openxmlformats.org/officeDocument/2006/relationships/hyperlink" Target="https://dalil.kg/document/112340" TargetMode="External"/><Relationship Id="rIdar0scadfyt9uqtqhviwu8" Type="http://schemas.openxmlformats.org/officeDocument/2006/relationships/hyperlink" Target="https://dalil.kg/document/112301" TargetMode="External"/><Relationship Id="rIdsptpn8endmcac1yiswbw7" Type="http://schemas.openxmlformats.org/officeDocument/2006/relationships/hyperlink" Target="https://dalil.kg/document/112301" TargetMode="External"/><Relationship Id="rIdx2ftbobjxm6ppfjynsokm" Type="http://schemas.openxmlformats.org/officeDocument/2006/relationships/hyperlink" Target="https://dalil.kg/document/159091" TargetMode="External"/><Relationship Id="rIdbb_qej5xwvpmimg8getsd" Type="http://schemas.openxmlformats.org/officeDocument/2006/relationships/hyperlink" Target="https://dalil.kg/document/112340" TargetMode="External"/><Relationship Id="rIdxkmi2ok4x-ncrzxcr8x26" Type="http://schemas.openxmlformats.org/officeDocument/2006/relationships/hyperlink" Target="https://dalil.kg/document/112340" TargetMode="External"/><Relationship Id="rIdak6-pdjnip345-xcx2m5g" Type="http://schemas.openxmlformats.org/officeDocument/2006/relationships/hyperlink" Target="https://dalil.kg/document/112340" TargetMode="External"/><Relationship Id="rIdivahqsbaymegv_fpeeiys" Type="http://schemas.openxmlformats.org/officeDocument/2006/relationships/hyperlink" Target="https://dalil.kg/document/112340" TargetMode="External"/><Relationship Id="rIdxymd0ovyb_l1jj9lur5xi" Type="http://schemas.openxmlformats.org/officeDocument/2006/relationships/hyperlink" Target="https://dalil.kg/document/1590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5y46d4md97ijarvyww6" Type="http://schemas.openxmlformats.org/officeDocument/2006/relationships/hyperlink" Target="https://dalil.kg/document/230031700" TargetMode="External"/><Relationship Id="rIdzgxlkopb2axlmevpu_9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2026-09-25T11:30:53.835Z</dcterms:created>
  <dcterms:modified xsi:type="dcterms:W3CDTF">2026-09-25T11:30:53.835Z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