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jqzzbcmlysitpbxhgxip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8 сентября 2025 года № 572)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
 выписывания рецептов на лекарственные средства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наличии соответствующих медицинских показаний пациентам, обратившимся за медицинской помощью в организации здравоохранения, независимо от формы собственности и ведомственной принадлежности, назначаются лекарственные средства и выписываются рецепты на них. Назначение лекарственного средства отражается в медицинской карте больного.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необходимости получения лекарственного средства, содержащего наркотическое средство или психотропное вещество, после выписки больного из стационара организация здравоохранения обеспечивает выдачу пациенту лекарственного средства, содержащего наркотическое средство или психотропное вещество в объеме не более пятидневной потребности.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Факт выдачи лекарственного средства, содержащего наркотическое средство или психотропное вещество отражается в выписке из медицинской карты стационарного пациента (больного).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Запрещается выписывать рецепты: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лекарственные средства, не разрешенные к медицинскому применению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отсутствии медицинских показаний;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амбулаторным больным на лекарственные средства, применяемые для общей анестезии (ингаляционный и неингаляционный наркоз) и миорелаксанты;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лекарственные средства, содержащие наркотические средства Списка IV, психотропные вещества Списка I, вещества Списка аналогов наркотических средств и психотропных веществ, а также Списка живых организмов, содержащих наркотические средства, психотропные вещества, их аналоги и прекурсоры Перечня подлежащих контролю в Кыргызской Республике наркотических средств, психотропных веществ, их аналогов и прекурсоров, а также содержащих их живых организмов (далее - Перечень наркотических средств и психотропных веществ), утвержденного </w:t>
      </w:r>
      <w:hyperlink w:history="1" r:id="rId9p6oa6qy84k2yxhud7a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наркотических средствах, психотропных веществах, их аналогах и прекурсорах, подлежащих контролю в Кыргызской Республике" от 26 марта 2025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152.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Предметно-количественному учету в организациях здравоохранения и фармацевтических организациях подлежат лекарственные средства, содержащие: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наркотические средства, психотропные вещества, их аналоги и прекурсоры, сильнодействующие вещества по спискам, утвержденным вышеуказанным постановлением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этиловый спирт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Рецепты на лекарственные средства, в том числе содержащие наркотические средства и психотропные вещества, имеют право выписывать: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врачи организаций здравоохранения независимо от формы собственности и ведомственной подчиненности;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врачи, осуществляющие частную медицинскую практику, при наличии лицензии, выданной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населенных пунктах, расположенных в высокогорных, отдаленных и труднодоступных зонах Кыргызской Республики, в случае отсутствия врача - заведующие фельдшерско-акушерскими пунктами (далее - ФАП), а также семейные медицинские сестры и/или семейные медицинские братья в пределах своей профессиональной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Частнопрактикующие врачи на рецептурных бланках проставляют штамп, в котором указывается наименование, индивидуальный налоговый номер, адрес, номер лицензии и дата ее выдачи.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Рецепты должны выписываться на бланках, отпечатанных типографским способом по формам, указанным в </w:t>
      </w:r>
      <w:hyperlink w:history="1" r:id="rIdtdluelasm3kutl9xvlr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Правилам, имеющих штамп организации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выписка рецептов в электронном формате в единой медицинской информационной системе в сфере здравоохранения. В случае выписывания электронного рецепта оформление рецепта на бумажном носителе не требуется.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Рецепты на лекарственные средства выписываются на рецептурных бланках формы </w:t>
      </w:r>
      <w:r>
        <w:rPr>
          <w:rFonts w:ascii="Arial" w:cs="Arial" w:eastAsia="Arial" w:hAnsi="Arial"/>
          <w:sz w:val="24"/>
          <w:szCs w:val="24"/>
        </w:rPr>
        <w:t xml:space="preserve">ЛС</w:t>
      </w:r>
      <w:r>
        <w:rPr>
          <w:rFonts w:ascii="Arial" w:cs="Arial" w:eastAsia="Arial" w:hAnsi="Arial"/>
          <w:sz w:val="24"/>
          <w:szCs w:val="24"/>
        </w:rPr>
        <w:t xml:space="preserve">-1. В электронном рецепте указываются обязательные параметры, установленные формой рецептурного бланка </w:t>
      </w:r>
      <w:r>
        <w:rPr>
          <w:rFonts w:ascii="Arial" w:cs="Arial" w:eastAsia="Arial" w:hAnsi="Arial"/>
          <w:sz w:val="24"/>
          <w:szCs w:val="24"/>
        </w:rPr>
        <w:t xml:space="preserve">ЛС</w:t>
      </w:r>
      <w:r>
        <w:rPr>
          <w:rFonts w:ascii="Arial" w:cs="Arial" w:eastAsia="Arial" w:hAnsi="Arial"/>
          <w:sz w:val="24"/>
          <w:szCs w:val="24"/>
        </w:rPr>
        <w:t xml:space="preserve">-1.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работы единой медицинской информационной системы в сфере здравоохранения, в том числе выписка электронных рецептов, определяется уполномоченным государственным органом в сфере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Рецепты на лекарственные средства выписываются под международными непатентованными наименованиями на латинском языке четко и разборчиво с обязательным заполнением всех предусмотренных в бланке граф, заверяются подписью и личной печатью врача. Исправления в рецепте не допускаются.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у лекарственного средства международного непатентованного наименования, при выписывании рецепта допускается использование торгового наименования.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получателем лекарственного средства, содержащего наркотическое вещество, является не сам пациент, в бланке рецепта в графе "Гражданин (Гр.)" указываются паспортные данные лица, через которого осуществляется получение данного лекарственного средства. Указанная информация подлежит обязательному внесению в медицинскую карту пациента.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экстемпорального изготовления, в рецепте состав лекарственного средства, лекарственная форма и указания фармацевта для изготовления оформляются на латинском языке. Использование латинских сокращений в рецепте разрешается только в соответствии с принятыми в медицинской и фармацевтической практике обозначениями согласно </w:t>
      </w:r>
      <w:hyperlink w:history="1" r:id="rIdmng3cdn5ks9lcj9olua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сокращение обозначений близких по наименованию ингредиентов, не позволяющих установить, какое именно лекарственное средство выписано. Названия наркотических, психотропных и сильнодействующих лекарственных средств пишутся в начале рецепта, а затем указываются все остальные ингредиенты.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если в рецепте на экстемпоральное изготовление указаны несовместимые лекарственные средства либо отсутствует информация о дозировке, фармацевт обязан связаться с врачом, выписавшим рецепт, для уточнения наименования препарата, его дозировки и фармацевтической/фармакологической совместимости. Отпуск лекарственного средства пациенту осуществляется только после получения уточненной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Способ применения лекарственного средства указывается на государственном или официальном языке с обязательным обозначением дозировки, кратности, времени и длительности приема. Для лекарственных средств, взаимодействующих с пищей, дополнительно указывается время приема относительно употребления пищи (до, во время или после еды).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необходимости экстренного отпуска лекарственного средства пациенту в верхней части рецептурного бланка проставляются обозначения "cito" (срочно) или "statim" (немедленно).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выписывании рецепта количество жидких веществ указывается в миллилитрах и каплях, а остальных веществ - в граммах, миллиграммах, единицах действия (ЕД) и международных единицах (ME).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 одном рецептурном бланке разрешается выписывать одно лекарственное средство: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предназначенное для отпуска бесплатно или на льготных условиях;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подлежащее предметно-количественному учету.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Наркотические лекарственные средства амбулаторным больным должны выписываться на специальных рецептурных бланках на наркотические лекарственные средства, имеющих штамп организации здравоохранения, серийный номер и степень защиты, в соответствии с формой бланка рецепта согласно </w:t>
      </w:r>
      <w:hyperlink w:history="1" r:id="rIdqmoyhs_cmvq2m888mz6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Правилам. В поле "История болезни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" можно указать "Амбулаторная карта б/н".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Рецепт на лекарственное средство, содержащее наркотическое вещество, выписывается врачом собственноручно, подписывается им и заверяется его личной печатью. Дополнительно рецепт подлежит подписанию руководителем организации здравоохранения и (или) клиническим руководителем группы семейных врачей, а также заверяется печатью организации здравоохранения с надписью "Для рецептов".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Лекарственные препараты, содержащие вещества из Списка III наркотических средств Перечня наркотических средств и психотропных веществ, подлежат выписке на рецептурных бланках формы ЛС-1.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Лекарственные препараты, содержащие вещества из Списка IV психотропных веществ Перечня наркотических средств и психотропных веществ, отпускаются без рецепта.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невозможности личного прибытия больного по состоянию здоровья на прием к врачу, при назначении лекарственного средства, содержащего наркотическое вещество или психотропные вещества, в медицинской карте амбулаторного пациента и на оборотной стороне рецепта врач указывает данные лица, имеющего право получить рецепт у врача и лекарственное средство в аптечном учреждении.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выписывании повторного рецепта на наркотическое лекарственное средство врач обязан проверить количество лекарственного средства, ранее выписанного пациенту. Допускается наличие у пациента остатка неиспользованного препарата в объеме, не превышающем одно- или двухдневную дозу.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Пациент лично или через лицо, указанное в медицинской карте амбулаторного пациента, может получать по рецепту лекарственные средства, содержащие наркотические средства или психотропные вещества, в установленном порядке. При получении лекарственного средства предъявляется документ, удостоверяющий личность пациента, либо электронный образ бумажного документа, либо соответствующий цифровой документ посредством государственного портала электронных услуг, а также документ, удостоверяющий личность получателя.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Фармацевт при отпуске лекарственного средства, содержащего наркотические средства или психотропные вещества, указывает на рецепте данные лица, получившего лекарственное средство (ФИО, ПИН, подпись).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Наркотические средства и психотропные вещества можно приобретать по рецепту без административно-территориальной привязки в любых аптеках, расположенных на территории Кыргызской Республики и имеющих соответствующие разрешительные документы на право оборота наркотических средств, психотропных веществ и прекурсоров.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Рецепты на лекарственные средства для больных с хроническими заболеваниями могут выписываться на курс лечения сроком до одного года, за исключением спиртосодержащих лекарственных средств экстемпорального изготовления, лекарственных средств, подлежащих предметно-количественному учету, анаболических гормонов.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этих случаях на рецептах должна быть надпись "По специальному назначению", скрепленная подписью врача и печатью организации здравоохранения "Для рецептов".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Рецепт, не соответствующий хотя бы одному из требований, установленных настоящими Правилами, считается недействительным.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нарушения порядка и требований, установленных настоящими Правилами, лица, выписавшие рецепт, несут ответственность в соответствии с законодательством Кыргызской Республики о 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Правилам выписывания рецептов на лекарственные средства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Медицинская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ЛС-1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Наименование и код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Размер 105x145 мм</w:t>
      </w:r>
    </w:p>
    <w:p>
      <w:pPr>
        <w:spacing w:after="24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РЕЦЕПТ
 (взрослый, детский - нужное подчеркнуть)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"___" _____________________ 201__ 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</w:t>
      </w:r>
      <w:r>
        <w:rPr>
          <w:rFonts w:ascii="Arial" w:cs="Arial" w:eastAsia="Arial" w:hAnsi="Arial"/>
          <w:sz w:val="24"/>
          <w:szCs w:val="24"/>
        </w:rPr>
        <w:t xml:space="preserve">больного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Возраст: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врача: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Rp: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Rp: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и личная печать врача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Рецепт действителен в течение ____________ дней, __________ месяцев, ____________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(указать)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Памятка врачу
 на оборотной стороне рецепта формы ЛС-1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организации здравоохранения печатается типографским способом или ставится штамп.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рецептурных бланках частнопрактикующих врачей в верхнем углу типографским способом должны быть указаны их адрес, номер лицензии, дата выдачи, срок действия и наименование организации, выдавшей ее.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Рецепт выписывается на латинском языке, разборчиво, четко, шариковой ручкой. Внесение исправлений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одном рецептурном бланке разрешается выписывать одно наименование лекарственного средства, подлежащего предметно-количественному учету, и до 2-х наименований лекарственных средств рецептурного отпуска.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Разрешаются только принятые сокращения обозначений, твердые и сыпучие вещества выписываются в граммах и миллиграммах, жидкие - в миллилитрах, граммах или каплях.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Способ применения указывается на государственном или официальном языке. Запрещается ограничиваться общими указаниями: "внутреннее", "известно" и т.п.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Указываются ФИО больного, его возраст, ФИО врача.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врача должна быть заверена его личной печатью и печатью для рецептов организации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Врач обязан предупредить пациента о сроке действия выписанного рецепта.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РЕЦЕПТ
 на получение лекарства, содержащего наркотическое вещество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АВ № 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Размер 75x120 мм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(Штамп и код организации здравоохранения)
 "___" _______________________ 201__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</w:t>
      </w:r>
      <w:r>
        <w:rPr>
          <w:rFonts w:ascii="Arial" w:cs="Arial" w:eastAsia="Arial" w:hAnsi="Arial"/>
          <w:sz w:val="24"/>
          <w:szCs w:val="24"/>
        </w:rPr>
        <w:t xml:space="preserve">_______</w:t>
      </w:r>
      <w:r>
        <w:rPr>
          <w:rFonts w:ascii="Arial" w:cs="Arial" w:eastAsia="Arial" w:hAnsi="Arial"/>
          <w:sz w:val="24"/>
          <w:szCs w:val="24"/>
        </w:rPr>
        <w:t xml:space="preserve">___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</w:t>
      </w:r>
      <w:r>
        <w:rPr>
          <w:rFonts w:ascii="Arial" w:cs="Arial" w:eastAsia="Arial" w:hAnsi="Arial"/>
          <w:sz w:val="24"/>
          <w:szCs w:val="24"/>
        </w:rPr>
        <w:t xml:space="preserve">_______</w:t>
      </w:r>
      <w:r>
        <w:rPr>
          <w:rFonts w:ascii="Arial" w:cs="Arial" w:eastAsia="Arial" w:hAnsi="Arial"/>
          <w:sz w:val="24"/>
          <w:szCs w:val="24"/>
        </w:rPr>
        <w:t xml:space="preserve">___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Заполняется чернилами.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Исправления не допускаются.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данный бланк повторяет бланк утвержденного образца розового цвета на бумаге с водяными знаками;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заполнение допускается чернилами и шариковой ручкой;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оформление его осуществляется в соответствии с пунктом 11 Правил выписывания рецептов на лекарственные средства, утвержденных постановлением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количество выписанного наркотического препарата выписывается прописью.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Правилам выписывания рецептов на лекарственные средства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Важнейшие рецептурные сокращения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0"/>
        <w:gridCol w:w="1561"/>
        <w:gridCol w:w="2752"/>
        <w:gridCol w:w="5384"/>
      </w:tblGrid>
      <w:tr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5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Сокращение</w:t>
            </w:r>
          </w:p>
        </w:tc>
        <w:tc>
          <w:tcPr>
            <w:tcW w:type="dxa" w:w="27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Полное написание</w:t>
            </w:r>
          </w:p>
        </w:tc>
        <w:tc>
          <w:tcPr>
            <w:tcW w:type="dxa" w:w="53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Перевод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аа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ana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по, поровну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ас., acid.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кислота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amp.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ampulla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ампула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aq.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aqua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вода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aq. pur.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aqua purifficatae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очищенная вода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but.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butyrum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(твердое)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comp., cps.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compositus (a, um)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сложный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D.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Da (Detur, Dentur)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выдай (пусть будет выдано, пусть будут выданы)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D.S.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Da. Signa; Detur. Signetur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выдай, обозначь; пусть будет выдано, обозначено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D.t.d.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Da (Dentur) tales doses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выдай (пусть будут выданы) такие дозы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dil.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dilutus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разведенный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div. in p. aeq.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divide in partes aequales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раздели на равные части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extr.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extractum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экстракт, вытяжка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f.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fiat (fiant)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пусть образуется (образуются)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gtt.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gutta, guttae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капля, капли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inf.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infusum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настой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 amp.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 ampullis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ампулах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 tabl.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 tab(u)lettis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таблетках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lin.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linimentum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жидкая мазь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liq.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liquor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жидкость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m.pil.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massa pilularum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пилюльная масса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M.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Misce, Misceatur.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смешай, пусть будет смешано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N.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numero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числом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ol.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oleum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(жидкое)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pil.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pilula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пилюля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p. aeq.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partes aequales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равные части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pulv.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pulvis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q.s.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quantum satis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сколько потребуется, сколько надо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r. rad.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radix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корень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Rp.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Recipe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возьми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Rep.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Repete, Repetur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повтори, пусть будет повторено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rhiz.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rhizoma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корневище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S.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Signa.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обозначь, пусть будет обозначено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sem.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semen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семя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simpl.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simplex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простой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sir.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sirupus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сироп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solutio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supp.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suppositorium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свеча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tabl.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tab(u)letta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t-ra, tinct.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tinctura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настойка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ung.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unguentum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мазь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vitr.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vitrum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склянка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ppt., praec.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praecipitatum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осажденный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past.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pasta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паста</w:t>
            </w:r>
          </w:p>
        </w:tc>
      </w:tr>
    </w:tbl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tww2apakl51jpfxjc2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dalil.kg/document/230031816</w:t>
      </w:r>
    </w:hyperlink>
  </w:p>
  <w:p>
    <w:pPr>
      <w:spacing w:after="0" w:before="40"/>
      <w:jc w:val="center"/>
    </w:pPr>
    <w:hyperlink w:history="1" r:id="rId0tb1_gstglkmqclnmsd7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qzzbcmlysitpbxhgxipe" Type="http://schemas.openxmlformats.org/officeDocument/2006/relationships/hyperlink" Target="https://dalil.kg/document/230031812" TargetMode="External"/><Relationship Id="rId9p6oa6qy84k2yxhud7aoq" Type="http://schemas.openxmlformats.org/officeDocument/2006/relationships/hyperlink" Target="https://dalil.kg/document/230024620" TargetMode="External"/><Relationship Id="rIdtdluelasm3kutl9xvlr4a" Type="http://schemas.openxmlformats.org/officeDocument/2006/relationships/hyperlink" Target="https://dalil.kg/document/230031816#pr_1" TargetMode="External"/><Relationship Id="rIdmng3cdn5ks9lcj9oluapb" Type="http://schemas.openxmlformats.org/officeDocument/2006/relationships/hyperlink" Target="https://dalil.kg/document/230031816#pr2" TargetMode="External"/><Relationship Id="rIdqmoyhs_cmvq2m888mz6he" Type="http://schemas.openxmlformats.org/officeDocument/2006/relationships/hyperlink" Target="https://dalil.kg/document/230031816#pr_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tww2apakl51jpfxjc2wk" Type="http://schemas.openxmlformats.org/officeDocument/2006/relationships/hyperlink" Target="https://dalil.kg/document/230031816" TargetMode="External"/><Relationship Id="rId0tb1_gstglkmqclnmsd7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2026-09-25T03:18:21.489Z</dcterms:created>
  <dcterms:modified xsi:type="dcterms:W3CDTF">2026-09-25T03:18:21.489Z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