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2025 года № 563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расположенного на территории города Бишкек,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 категории «Земли сельскохозяйственного назначения»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 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многоэтажного жилого комплекса на территории Октябрьского района города Бишкек, в соответствии </w:t>
      </w:r>
      <w:r>
        <w:rPr>
          <w:rFonts w:ascii="Arial" w:cs="Arial" w:eastAsia="Arial" w:hAnsi="Arial"/>
          <w:sz w:val="24"/>
          <w:szCs w:val="24"/>
        </w:rPr>
        <w:t xml:space="preserve">со статьей 18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</w:t>
      </w:r>
      <w:hyperlink w:history="1" r:id="rIdynigbkya0r65thalpgw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0zcy1l5ioanurl6tij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акона Кыргызской Республики «О Кабинете Министров Кыргызской Республики», учитывая постановление мэрии города Бишкек 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августа 2025 года № 20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, заключение</w:t>
      </w:r>
      <w:r>
        <w:rPr>
          <w:rFonts w:ascii="Arial" w:cs="Arial" w:eastAsia="Arial" w:hAnsi="Arial"/>
          <w:sz w:val="24"/>
          <w:szCs w:val="24"/>
        </w:rPr>
        <w:t xml:space="preserve"> земельной комиссии мэрии города Бишкек</w:t>
      </w:r>
      <w:r>
        <w:rPr>
          <w:rFonts w:ascii="Arial" w:cs="Arial" w:eastAsia="Arial" w:hAnsi="Arial"/>
          <w:sz w:val="24"/>
          <w:szCs w:val="24"/>
        </w:rPr>
        <w:t xml:space="preserve"> от 29 июля 2025 года,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Перевести (трансформировать) земельный участок общей площадью 1,7 га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из них 1,5 га огород, 0,2 га пастбища,</w:t>
      </w:r>
      <w:r>
        <w:rPr>
          <w:rFonts w:ascii="Arial" w:cs="Arial" w:eastAsia="Arial" w:hAnsi="Arial"/>
          <w:sz w:val="24"/>
          <w:szCs w:val="24"/>
        </w:rPr>
        <w:t xml:space="preserve"> расположенный в контурах № </w:t>
      </w:r>
      <w:r>
        <w:rPr>
          <w:rFonts w:ascii="Arial" w:cs="Arial" w:eastAsia="Arial" w:hAnsi="Arial"/>
          <w:sz w:val="24"/>
          <w:szCs w:val="24"/>
        </w:rPr>
        <w:t xml:space="preserve">25, 27, 28</w:t>
      </w:r>
      <w:r>
        <w:rPr>
          <w:rFonts w:ascii="Arial" w:cs="Arial" w:eastAsia="Arial" w:hAnsi="Arial"/>
          <w:sz w:val="24"/>
          <w:szCs w:val="24"/>
        </w:rPr>
        <w:t xml:space="preserve"> Октябрьского района города Бишкек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находящийся в частной собственности </w:t>
      </w:r>
      <w:r>
        <w:rPr>
          <w:rFonts w:ascii="Arial" w:cs="Arial" w:eastAsia="Arial" w:hAnsi="Arial"/>
          <w:sz w:val="24"/>
          <w:szCs w:val="24"/>
        </w:rPr>
        <w:t xml:space="preserve">Б.С. Дикамбаева</w:t>
      </w:r>
      <w:r>
        <w:rPr>
          <w:rFonts w:ascii="Arial" w:cs="Arial" w:eastAsia="Arial" w:hAnsi="Arial"/>
          <w:sz w:val="24"/>
          <w:szCs w:val="24"/>
        </w:rPr>
        <w:t xml:space="preserve">, из категории «Земли сельскохозяйственного назначения» в категорию «Земли населенных пунктов».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Мэрии города Бишкек обеспечить: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 использование земель</w:t>
      </w:r>
      <w:r>
        <w:rPr>
          <w:rFonts w:ascii="Arial" w:cs="Arial" w:eastAsia="Arial" w:hAnsi="Arial"/>
          <w:sz w:val="24"/>
          <w:szCs w:val="24"/>
        </w:rPr>
        <w:t xml:space="preserve">ного участка</w:t>
      </w:r>
      <w:r>
        <w:rPr>
          <w:rFonts w:ascii="Arial" w:cs="Arial" w:eastAsia="Arial" w:hAnsi="Arial"/>
          <w:sz w:val="24"/>
          <w:szCs w:val="24"/>
        </w:rPr>
        <w:t xml:space="preserve">, указанного в пункте 1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вышеуказанного земель</w:t>
      </w:r>
      <w:r>
        <w:rPr>
          <w:rFonts w:ascii="Arial" w:cs="Arial" w:eastAsia="Arial" w:hAnsi="Arial"/>
          <w:sz w:val="24"/>
          <w:szCs w:val="24"/>
        </w:rPr>
        <w:t xml:space="preserve">ного участка</w:t>
      </w:r>
      <w:r>
        <w:rPr>
          <w:rFonts w:ascii="Arial" w:cs="Arial" w:eastAsia="Arial" w:hAnsi="Arial"/>
          <w:sz w:val="24"/>
          <w:szCs w:val="24"/>
        </w:rPr>
        <w:t xml:space="preserve"> в соответствии с законодательством Кыргызской Республики в сфере градостроительства и архитектуры при строгом соблюдении строительных норм и правил;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организацию функционирования и развития системы жизнеобеспечения территории, социально-экономическое развитие за счет </w:t>
      </w:r>
      <w:r>
        <w:rPr>
          <w:rFonts w:ascii="Arial" w:cs="Arial" w:eastAsia="Arial" w:hAnsi="Arial"/>
          <w:sz w:val="24"/>
          <w:szCs w:val="24"/>
        </w:rPr>
        <w:t xml:space="preserve">собственных средств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сохранность объектов историко-культурного наследия в случае их выявления на указанном зем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льном участке в соответствии с законодательством Кыргызской Республики об охране и использовании историко-культурного наследия;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соблюдение технических параметров автомобильных дорог, норм и требований Закона Кыргызской Республики «Об автомобильных дорогах»;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мер, предусматривающих изъятие и приведение в первоначальное состояние земель</w:t>
      </w:r>
      <w:r>
        <w:rPr>
          <w:rFonts w:ascii="Arial" w:cs="Arial" w:eastAsia="Arial" w:hAnsi="Arial"/>
          <w:sz w:val="24"/>
          <w:szCs w:val="24"/>
        </w:rPr>
        <w:t xml:space="preserve">ного участка</w:t>
      </w:r>
      <w:r>
        <w:rPr>
          <w:rFonts w:ascii="Arial" w:cs="Arial" w:eastAsia="Arial" w:hAnsi="Arial"/>
          <w:sz w:val="24"/>
          <w:szCs w:val="24"/>
        </w:rPr>
        <w:t xml:space="preserve">, указанного в пункте 1 настоящего постановления, в случае его неиспользования или использования не по целевому назначению;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выплату суммы стоимости возмещения потерь и упущенной выгоды сельскохозяйственного и лесохозяйственного производства в соответствии с нормами, установленными земельным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восстановление площади земель</w:t>
      </w:r>
      <w:r>
        <w:rPr>
          <w:rFonts w:ascii="Arial" w:cs="Arial" w:eastAsia="Arial" w:hAnsi="Arial"/>
          <w:sz w:val="24"/>
          <w:szCs w:val="24"/>
        </w:rPr>
        <w:t xml:space="preserve">ного участка</w:t>
      </w:r>
      <w:r>
        <w:rPr>
          <w:rFonts w:ascii="Arial" w:cs="Arial" w:eastAsia="Arial" w:hAnsi="Arial"/>
          <w:sz w:val="24"/>
          <w:szCs w:val="24"/>
        </w:rPr>
        <w:t xml:space="preserve">, указанн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в пункте 1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соблюдение соответствующих охранных расстояний для безопасной и надлежащей эксплуатации воздушных линий электропередачи в соответствии с Правилами охраны электрических сетей напряжением выше 1000 вольт;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соблюдение нормативных актов в области общественного здравоохранения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9 сентября 2025 года № 68 (3724).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yvjhzxc0f5a57xon2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dalil.kg/document/230031861</w:t>
      </w:r>
    </w:hyperlink>
  </w:p>
  <w:p>
    <w:pPr>
      <w:spacing w:after="0" w:before="40"/>
      <w:jc w:val="center"/>
    </w:pPr>
    <w:hyperlink w:history="1" r:id="rId8gzalrwb6relpcjjvbr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igbkya0r65thalpgwwy" Type="http://schemas.openxmlformats.org/officeDocument/2006/relationships/hyperlink" Target="https://dalil.kg/document/112301#st_13" TargetMode="External"/><Relationship Id="rIda0zcy1l5ioanurl6tijk6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yvjhzxc0f5a57xon2zf" Type="http://schemas.openxmlformats.org/officeDocument/2006/relationships/hyperlink" Target="https://dalil.kg/document/230031861" TargetMode="External"/><Relationship Id="rId8gzalrwb6relpcjjvbr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2026-09-27T09:35:04.085Z</dcterms:created>
  <dcterms:modified xsi:type="dcterms:W3CDTF">2026-09-27T09:35:04.085Z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