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2025 года № 573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иностранных бирж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для размещения и обращения ценных бумаг и глобальных депозитарных расписок, на которые распространяются налоговые льготы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выпуска и обращения ценных бумаг и глобальных депозитарных расписок, а также эффективного механизма привлечения инвестиционных средств, в связи с предоставлением налоговых льгот на доходы от ценных бумаг, имеющих листинг на иностранных биржах, повышающий доступность финансовых инструментов для населения и дополнительно создающий альтернативный источник доходов,</w:t>
      </w:r>
      <w:r>
        <w:rPr>
          <w:rFonts w:ascii="Arial" w:cs="Arial" w:eastAsia="Arial" w:hAnsi="Arial"/>
          <w:sz w:val="24"/>
          <w:szCs w:val="24"/>
        </w:rPr>
        <w:t xml:space="preserve"> в соответствии со статьями </w:t>
      </w:r>
      <w:hyperlink w:history="1" r:id="rIdjburo2lqaoqrxujdtjz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ld33dpszawfnnruwb3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ayqz5p3ncjmuxvsizu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l2yry6y71ckn527lv33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h1hncdlm5zf0kg-3nf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lbppdolygc2f-tguup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иностранных бирж для размещения и обращения ценных бумаг и глобальных депозитарных расписок, на которые распространяются налоговые льготы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сентября 2025 года № 69 (3725).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иностранных бирж для размещения и обращения ценных бумаг и глобальных депозитарных расписок, на которые распространяются налоговые льготы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Athens Exchange (ASE/ATHEX), Греция;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Abu Dhabi Securities Exchange (ADX), Объединенные Арабские Эмираты;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Dubai Financial Market (DFM), Объединенные Арабские Эмираты;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New York Stock Exchange (NYSE), США;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Nasdaq Stock Market (NASDAQ), США;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Kazakhstan Stock Exchange (KASE), Казахстан;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Astana International Exchange (AIX), Казахстан;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London Stock Exchange (LSE), Великобритания;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Luxembourg Stock Exchange (LuxSE), Люксембург;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Toronto Stock Exchange (TMX TSX), Канада;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Euronext Dublin (ISE), Ирландия;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Euronext Amsterdam (AEX), Нидерланды;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Euronext Brussels (XBRU), Бельгия;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Vienna Stock Exchange (WBAG), Австрия;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Hong Kong Stock Exchange (HKEX), Гонконг;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Shanghai Stock Exchange (SSE), Китай;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Saudi Stock Exchange (Tadawul), Саудовская Аравия;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Swiss Exchange (SIX), Швейцария;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The International Stock Exchange (TISE), Гернси;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Tokyo Stock Exchange (TSE), Япония;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Singapore Exchange (SGX), Сингапур;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Deutsche Börse (XFRA), Германия;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Московская Биржа (МОЕХ), Российская Федерация;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СПБ Биржа (SPBE), Российская Федерация;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Frankfurter Wertpapierbörse (FWB), Германия;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Chicago Board Options Exchange (Cboe Global Markets, Inc.), США;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Borsa Istanbul (BIST), Турция.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dnjcqmv739rtzjykm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dalil.kg/document/230031917</w:t>
      </w:r>
    </w:hyperlink>
  </w:p>
  <w:p>
    <w:pPr>
      <w:spacing w:after="0" w:before="40"/>
      <w:jc w:val="center"/>
    </w:pPr>
    <w:hyperlink w:history="1" r:id="rId-yewrkizeuoirbtbi5e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uro2lqaoqrxujdtjzcw" Type="http://schemas.openxmlformats.org/officeDocument/2006/relationships/hyperlink" Target="https://dalil.kg/document/112340#st_191" TargetMode="External"/><Relationship Id="rIdmld33dpszawfnnruwb3ko" Type="http://schemas.openxmlformats.org/officeDocument/2006/relationships/hyperlink" Target="https://dalil.kg/document/112340#st_213" TargetMode="External"/><Relationship Id="rIdvayqz5p3ncjmuxvsizu4x" Type="http://schemas.openxmlformats.org/officeDocument/2006/relationships/hyperlink" Target="https://dalil.kg/document/112340#st_249" TargetMode="External"/><Relationship Id="rIdl2yry6y71ckn527lv334l" Type="http://schemas.openxmlformats.org/officeDocument/2006/relationships/hyperlink" Target="https://dalil.kg/document/112301#st_13" TargetMode="External"/><Relationship Id="rIdqh1hncdlm5zf0kg-3nfcd" Type="http://schemas.openxmlformats.org/officeDocument/2006/relationships/hyperlink" Target="https://dalil.kg/document/112301#st_17" TargetMode="External"/><Relationship Id="rIdulbppdolygc2f-tguupsb" Type="http://schemas.openxmlformats.org/officeDocument/2006/relationships/hyperlink" Target="https://dalil.kg/document/230031917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dnjcqmv739rtzjykme7" Type="http://schemas.openxmlformats.org/officeDocument/2006/relationships/hyperlink" Target="https://dalil.kg/document/230031917" TargetMode="External"/><Relationship Id="rId-yewrkizeuoirbtbi5e7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2026-09-27T09:23:13.509Z</dcterms:created>
  <dcterms:modified xsi:type="dcterms:W3CDTF">2026-09-27T09:23:13.509Z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