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639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охране атмосферного воздуха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окружающей среды, обеспечения права граждан на благоприятную экологическую обстановку и улучшения качества атмосферного воздуха в Чуйской области и городе Бишкек, в соответствии </w:t>
      </w:r>
      <w:hyperlink w:history="1" r:id="rIdmturr6eo5yewvnf-2hj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окружающей среды», статьями </w:t>
      </w:r>
      <w:hyperlink w:history="1" r:id="rIdzfrjtpie0_xqxnfk5m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74nt4cumsnsmcfrpp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запрет на ввоз, продажу, хранение и использование на территории Чуйской области и города Бишкек россыпного</w:t>
      </w:r>
      <w:r>
        <w:rPr>
          <w:rFonts w:ascii="Arial" w:cs="Arial" w:eastAsia="Arial" w:hAnsi="Arial"/>
          <w:sz w:val="24"/>
          <w:szCs w:val="24"/>
        </w:rPr>
        <w:t xml:space="preserve">угля фракцией 0–13 мм, за исключением поставок на теплоснабжающие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Республики, Министерству внутренних дел Кыргызской Республики, Министерству транспорта и коммуникаций Кыргызской Республики, Службе экологического и технического надзора при Министерстве природных ресурсов, экологии и технического надзора Кыргызской Республики, полномочному представителю Президента Кыргызской Республики в Чуйской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, открытому акционерному обществу</w:t>
      </w:r>
      <w:r>
        <w:rPr>
          <w:rFonts w:ascii="Arial" w:cs="Arial" w:eastAsia="Arial" w:hAnsi="Arial"/>
          <w:sz w:val="24"/>
          <w:szCs w:val="24"/>
        </w:rPr>
        <w:t xml:space="preserve"> «Кыргызкомур» и иным угледобывающим предприятиям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 реализации угля обеспечить строгое соблюдение ограничений, установленных пунктом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Президента Кыргызской Республики в Чуйской области Кыргызской Республики и мэрии города Бишкек </w:t>
      </w:r>
      <w:r>
        <w:rPr>
          <w:rFonts w:ascii="Arial" w:cs="Arial" w:eastAsia="Arial" w:hAnsi="Arial"/>
          <w:sz w:val="24"/>
          <w:szCs w:val="24"/>
        </w:rPr>
        <w:t xml:space="preserve">совместно с </w:t>
      </w:r>
      <w:r>
        <w:rPr>
          <w:rFonts w:ascii="Arial" w:cs="Arial" w:eastAsia="Arial" w:hAnsi="Arial"/>
          <w:sz w:val="24"/>
          <w:szCs w:val="24"/>
        </w:rPr>
        <w:t xml:space="preserve">Министерством энергетики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угледобывающими предприятиями Кыргызской Республики и поставщиками импортного угля </w:t>
      </w:r>
      <w:r>
        <w:rPr>
          <w:rFonts w:ascii="Arial" w:cs="Arial" w:eastAsia="Arial" w:hAnsi="Arial"/>
          <w:sz w:val="24"/>
          <w:szCs w:val="24"/>
        </w:rPr>
        <w:t xml:space="preserve">обеспечить бесперебойную работу достаточного количества пунктов реализации</w:t>
      </w:r>
      <w:r>
        <w:rPr>
          <w:rFonts w:ascii="Arial" w:cs="Arial" w:eastAsia="Arial" w:hAnsi="Arial"/>
          <w:sz w:val="24"/>
          <w:szCs w:val="24"/>
        </w:rPr>
        <w:t xml:space="preserve">разрешенных к использованию видов угля </w:t>
      </w:r>
      <w:r>
        <w:rPr>
          <w:rFonts w:ascii="Arial" w:cs="Arial" w:eastAsia="Arial" w:hAnsi="Arial"/>
          <w:sz w:val="24"/>
          <w:szCs w:val="24"/>
        </w:rPr>
        <w:t xml:space="preserve">в соответствии с пунктом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Службе антимонопольного регулирования при Министерстве экономики и коммерции Кыргызской Республики обеспечить мониторинг цен в пунктах реализации угля и при необходимости принять меры по недопущению необоснованного роста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природных ресурсов, экологии и технического надзора Кыргызской Республики, Министерству энергетики Кыргызской Республики, Министерству внутренних дел Кыргызской Республики, полномочному представителю Президента Кыргызской Республики в Чуйской области Кыргызской Республики и мэрии города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культуры, информации и молодежной политики Кыргызской Республики организовать информационно-разъяснительную работу среди населения о принимаемых мерах через средства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рамках своих полномочий 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реализация настоящего постановления осуществляется в пределах средств, предусмотренных в республиканском бюджете министерствам и ведомствам, </w:t>
      </w:r>
      <w:r>
        <w:rPr>
          <w:rFonts w:ascii="Arial" w:cs="Arial" w:eastAsia="Arial" w:hAnsi="Arial"/>
          <w:sz w:val="24"/>
          <w:szCs w:val="24"/>
        </w:rPr>
        <w:t xml:space="preserve">задействованным</w:t>
      </w:r>
      <w:r>
        <w:rPr>
          <w:rFonts w:ascii="Arial" w:cs="Arial" w:eastAsia="Arial" w:hAnsi="Arial"/>
          <w:sz w:val="24"/>
          <w:szCs w:val="24"/>
        </w:rPr>
        <w:t xml:space="preserve"> в его исполнении, на соответствующий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октября 2025 года № 76 (3732)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lbx9zayxdpmz7krmy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dalil.kg/document/230031971</w:t>
      </w:r>
    </w:hyperlink>
  </w:p>
  <w:p>
    <w:pPr>
      <w:spacing w:after="0" w:before="40"/>
      <w:jc w:val="center"/>
    </w:pPr>
    <w:hyperlink w:history="1" r:id="rIdv0coz9viqtuf_lvgs1i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urr6eo5yewvnf-2hj_u" Type="http://schemas.openxmlformats.org/officeDocument/2006/relationships/hyperlink" Target="https://dalil.kg/document/218#st_40" TargetMode="External"/><Relationship Id="rIdzfrjtpie0_xqxnfk5mrki" Type="http://schemas.openxmlformats.org/officeDocument/2006/relationships/hyperlink" Target="https://dalil.kg/document/112301#st_13" TargetMode="External"/><Relationship Id="rId974nt4cumsnsmcfrppcf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lbx9zayxdpmz7krmyqn" Type="http://schemas.openxmlformats.org/officeDocument/2006/relationships/hyperlink" Target="https://dalil.kg/document/230031971" TargetMode="External"/><Relationship Id="rIdv0coz9viqtuf_lvgs1i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2026-09-27T08:38:39.160Z</dcterms:created>
  <dcterms:modified xsi:type="dcterms:W3CDTF">2026-09-27T08:38:39.160Z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