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9 октября 2025 года № 208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финансовой аренде (лизинге)"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iklqjwm72wpabufnrk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финансовой аренде (лизинге)" (Ведомости Жогорку Кенеша Кыргызской Республики, 2002 г., № 9, ст.409)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третий части первой </w:t>
      </w:r>
      <w:r>
        <w:rPr>
          <w:rFonts w:ascii="Arial" w:cs="Arial" w:eastAsia="Arial" w:hAnsi="Arial"/>
          <w:sz w:val="24"/>
          <w:szCs w:val="24"/>
        </w:rPr>
        <w:t xml:space="preserve">статьи 4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лизингополучатель - юридическое лицо (в том числе государственные органы, органы местного самоуправления и их подведомственные учреждения), физическое лицо, индивидуальный предприниматель, которые в соответствии с договором лизинга обязаны принять предмет лизинга за определенную плату на определенный срок и на определенных условиях во временное владение и в пользование в соответствии с договором лизинга;";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статье 5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дополнить пунктом 2-1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"2-1. По решению Кабинета Министров Кыргызской Республики может быть создана государственная лизинговая компания в форме открытого акционерного общества.";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4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Лизинговая компания вправе привлекать средства юридических лиц (резидентов и нерезидентов Кыргызской Республики) в национальной и иностранной валюте для осуществления лизинговой деятельности в порядке, установленном гражданским законодательством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дополнить пунктом 5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Учредителями лизинговых компаний не могут быть: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физические и юридические лица, проживающие и/или зарегистрированные на территории оффшорных зон;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физические и юридические лица и/или имеющие в качестве участников аффилированные лица, находящиеся в санкционных перечнях физических и юридических лиц, групп и организаций, в отношении которых имеются сведения об их участии в террористической или экстремистской деятельности и распространении оружия массового уничтожения, финансировании террористической деятельности и легализации (отмыванию) преступных доходов, список которых формируется уполномоченным органом, определяемым Кабинетом Министров Кыргызской Республики в соответствии с законодательством в сфере противодействия финансированию террористической деятельности и легализации (отмыванию) преступных доходов.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Субъекты лизинга обязаны принять меры по противодействию финансированию террористической деятельности и легализации (отмыванию) преступных доходов и реализации требований законодательства Кыргызской Республики в сфере противодействия финансированию террористической деятельности и легализации (отмыванию) преступных доходов.";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абзац третий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"Возвратный лизинг - вид лизинга, при котором в предпринимательских целях продавец может одновременно выступать в качестве лизингополучателя в пределах одного лизингового правоотношения. При этом участниками возвратного лизинга могут быть только индивидуальные предприниматели и юридические лица в предпринимательских целях (в том числе государственные органы, органы местного самоуправления и их подведомственные учреждения).";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статью 22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Статья 22</w:t>
      </w:r>
      <w:r>
        <w:rPr>
          <w:rFonts w:ascii="Arial" w:cs="Arial" w:eastAsia="Arial" w:hAnsi="Arial"/>
          <w:sz w:val="24"/>
          <w:szCs w:val="24"/>
        </w:rPr>
        <w:t xml:space="preserve">. Учет и отчетность лизинговых компаний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Учет предмета лизинга и начисление амортизации осуществляются в соответствии с требованиями налогового законодательства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Лизинговая компания обязана осуществлять бухгалтерский учет своих операций и формировать финансовую отчетность в соответствии с </w:t>
      </w:r>
      <w:hyperlink w:history="1" r:id="rIdwp_av0zpvnbzn1guybv1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бухгалтерском учете" и утвержденными уполномоченным государственным органом сроками и формой отчетности, а также представлять финансовую отчетность и аудиторское заключение в Публичный депозитарий финансовой отчетности в порядке, установленном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обеспечения финансовой устойчивости лизинговые компании обязаны соблюдать пруденциальные нормативы достаточности собственного капитала, нормативы ликвидности и нормативы качества лизингового портфеля. Порядок предоставления и формы отчетности, правила и методика расчета значений пруденциальных нормативов лизинговых компаний устанавливаются уполномоченным государственным органом.".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14 октября 2025 года № 78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17 сентября 2025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iklqjwm72wpabufnrkn3" Type="http://schemas.openxmlformats.org/officeDocument/2006/relationships/hyperlink" Target="http://kodeks.duckdns.org/document/1078" TargetMode="External"/><Relationship Id="rIdwp_av0zpvnbzn1guybv14" Type="http://schemas.openxmlformats.org/officeDocument/2006/relationships/hyperlink" Target="http://kodeks.duckdns.org/document/103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2026-09-23T09:28:55.214Z</dcterms:created>
  <dcterms:modified xsi:type="dcterms:W3CDTF">2026-09-23T09:28:55.214Z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