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октября 2025 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лиц с инвалидностью путем создания благоприятных условий для ввоза специализированных товаров физическими лицами для личного пользования, некоммерческими организациями и Республиканским учреждением протезно-ортопедических изделий при Министерстве труда, социального обеспечения и миграции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gq1hrpizbmzqyj25vn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11 марта 2022 года № 131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названии и преамбуле цифры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» заменить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
 «268,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дополнить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является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определяющим перечень специализированных товаров для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, а также </w:t>
      </w:r>
      <w:r>
        <w:rPr>
          <w:rFonts w:ascii="Arial" w:cs="Arial" w:eastAsia="Arial" w:hAnsi="Arial"/>
          <w:sz w:val="24"/>
          <w:szCs w:val="24"/>
        </w:rPr>
        <w:t xml:space="preserve">утверждающим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письменные подтверждения, выданные уполномоченным государственным органом в 2022–2024 годах, признаются действительными при условии их соответствия коду товара по Товарной номенклатуре внешнеэкономической деятельности </w:t>
      </w: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 и наименованию товара, указанным в перечне специализированных товаров для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использование товаров не по назначению влечет за собой отмену предоставленных налоговых льгот с доначислением суммы налога в порядке, установленном налоговым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за целевым использованием</w:t>
      </w:r>
      <w:r>
        <w:rPr>
          <w:rFonts w:ascii="Arial" w:cs="Arial" w:eastAsia="Arial" w:hAnsi="Arial"/>
          <w:sz w:val="24"/>
          <w:szCs w:val="24"/>
        </w:rPr>
        <w:t xml:space="preserve"> ввезенных товаров в течение 
 двух лет со дня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Государственной таможенной службе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таможенного оформления применять освобождение от уплаты НДС только при наличии письменного подтверждения уполномоченного государственного органа, оформленного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 применять освобождение от уплаты НДС в случае, если товар представлен в виде частей, элементов или комплектующих, не позволяющих однозначно установить его назначение, без соответствующего подтверждения уполномоченного государственного органа.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 изложить в редакции согласно </w:t>
      </w:r>
      <w:hyperlink w:history="1" r:id="rIdc25rwdgqtwlyd3fxin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опубликования, за исключением абзаца </w:t>
      </w:r>
      <w:r>
        <w:rPr>
          <w:rFonts w:ascii="Arial" w:cs="Arial" w:eastAsia="Arial" w:hAnsi="Arial"/>
          <w:sz w:val="24"/>
          <w:szCs w:val="24"/>
        </w:rPr>
        <w:t xml:space="preserve">четвертого подпункта 2</w:t>
      </w:r>
      <w:r>
        <w:rPr>
          <w:rFonts w:ascii="Arial" w:cs="Arial" w:eastAsia="Arial" w:hAnsi="Arial"/>
          <w:sz w:val="24"/>
          <w:szCs w:val="24"/>
        </w:rPr>
        <w:t xml:space="preserve"> пункта 1 настоящего постановления, котор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вступает в силу с 1 января 2022 года.</w:t>
      </w:r>
    </w:p>
    <w:p>
      <w:pPr>
        <w:spacing w:after="20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специализированных товаров для лиц с инвалидностью(*)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"/>
        <w:gridCol w:w="2154"/>
        <w:gridCol w:w="7288"/>
      </w:tblGrid>
      <w:tr>
        <w:tc>
          <w:tcPr>
            <w:tcW w:type="dxa" w:w="7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10 100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90 800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00 700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Тифлотехнические средства, лупы ручные и электронные увеличители, программное обеспечение для экранного чтения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подбора, тифлотехнические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7019 65 000 9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6815 12 000 0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6815 13 000 0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Карбоноволокнистый материал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Гипсоизалирующий крем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искусственные, ортезы и протезы (основные типы)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принадлежностей, кохлеарные импланты и комплектующие, сурдотехнические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аппаратов), слуховые аппараты (базовые модели), световые системы сигнализации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Кохлеарные импланты и комплектующие, сурдотехнические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коммуникаторы, речевой процессор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наручные или карманные "говорящие наручные часы"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будильники или "говорящие будильники"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32 000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10 000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ортопедической обуви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90 009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90 009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90 940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8472 90 920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8472 90 930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электрические; брайлевские печатные машинки,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62 900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пленка и полосы или ленты, прочие, из полиэтилентерефталата, непористые и неармированные, неслоистые, без подложки и не соединенные аналогичным способом с другими материалами, толщиной более 0,35 мм (сополиэстер)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30 000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эпоксидные,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6307 90 980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5603 93 900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Нетканые материалы, пропитанные или непропитанные, без покрытия, дублированные или сдублированные, прочие, с поверхностной плотностью более 70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(фильцы)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3909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меламиновые в первичной форме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15 110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выточенные из прутков, профилей или проволоки сплошного поперечного сечения, с толщиной стержня не более 6 мм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Напильники, надфили, рашпили и аналогичные инструменты (лезвие для рашпиля)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3906 90 900 7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акриловые полимеры в первичных формах (смола акриловая)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6815 12 000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Полотна из углеродных волокон (углеткань)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29 900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Полиацетали, полиэфиры простые прочие (пена Formousse 200 Resin)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3909 31 000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Амино-альдегидные смолы прочие: полиметиленфенилизоцианат (сырой МДИ, полимерный МДИ) (отвердитель)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3407 00 000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 прочие на основе гипса (кальцинированного гипса или сульфата кальция) (пластилин скульптурный)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3926 90 970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 (рант)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3306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чистки зубов (паста ГОИ)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90 940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штампованные, прочие (планшетки)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3505 20 500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Клеи, содержащие 55 мас. % или более, но менее 80 мас. % крахмалов или декстринов, или прочих модифицированных крахмалов (клей)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кодом товара по Товарной номенклатуре внешнеэкономической деятельности Евразийского экономического союза, а также наименованием товара. Классификация приведенных в настоящем Перечне товаров, для которых не указан код Товарной номенклатуры внешнеэкономической деятельности Евразийского экономического союза, осуществляется при их таможенном оформлении.".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hvfmqlxhvfcjjwyms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dalil.kg/document/230032628</w:t>
      </w:r>
    </w:hyperlink>
  </w:p>
  <w:p>
    <w:pPr>
      <w:spacing w:after="0" w:before="40"/>
      <w:jc w:val="center"/>
    </w:pPr>
    <w:hyperlink w:history="1" r:id="rIdkdpaapamogbixlmjc0b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q1hrpizbmzqyj25vnn5" Type="http://schemas.openxmlformats.org/officeDocument/2006/relationships/hyperlink" Target="https://dalil.kg/document/159091" TargetMode="External"/><Relationship Id="rIdc25rwdgqtwlyd3fxinkwj" Type="http://schemas.openxmlformats.org/officeDocument/2006/relationships/hyperlink" Target="https://dalil.kg/document/23003262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hvfmqlxhvfcjjwyms2j" Type="http://schemas.openxmlformats.org/officeDocument/2006/relationships/hyperlink" Target="https://dalil.kg/document/230032628" TargetMode="External"/><Relationship Id="rIdkdpaapamogbixlmjc0b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2026-09-25T11:32:39.930Z</dcterms:created>
  <dcterms:modified xsi:type="dcterms:W3CDTF">2026-09-25T11:32:39.930Z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