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663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упорядочении торговой деятельности на территории Кыргызской Республики» от 30 сентября 2014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единых требований к предоставлению информации о стоимости услуг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прав потребителей»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oylyhkimidbl7owj2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торговой деятельности на территории Кыргызской Республики» от 30 сентября 2014 года № 560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bwo96a6syj9zxref62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141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«141.</w:t>
      </w:r>
      <w:r>
        <w:rPr>
          <w:rFonts w:ascii="Arial" w:cs="Arial" w:eastAsia="Arial" w:hAnsi="Arial"/>
          <w:sz w:val="24"/>
          <w:szCs w:val="24"/>
        </w:rPr>
        <w:t xml:space="preserve">Объекты общественного питания могут самостоятельно устанавливать дополнительные условия для посетителей, не противоречащие законодательству Кыргызской Республики, за исключением процентов за обслуживание.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взимание платы за обслуживание, подачу блюд, сервировку или иные действия обслуживающего персонала, отдельно от основной стоимости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всех составляющих услуг общественного питания должна быть включена в цену, указанную в меню, прайс-листе или ином документе, доступном потребителю до оформления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Конечная сумма оплаты не должна отличаться от суммы, рассчитанной на основании публично представленного прейскуранта.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uvplh1irz8v-8nv2p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dalil.kg/document/230032629</w:t>
      </w:r>
    </w:hyperlink>
  </w:p>
  <w:p>
    <w:pPr>
      <w:spacing w:after="0" w:before="40"/>
      <w:jc w:val="center"/>
    </w:pPr>
    <w:hyperlink w:history="1" r:id="rIdij-emqzwsjfcbht_72x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ylyhkimidbl7owj23nq" Type="http://schemas.openxmlformats.org/officeDocument/2006/relationships/hyperlink" Target="https://dalil.kg/document/97022" TargetMode="External"/><Relationship Id="rIdlbwo96a6syj9zxref62gj" Type="http://schemas.openxmlformats.org/officeDocument/2006/relationships/hyperlink" Target="https://dalil.kg/document/97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uvplh1irz8v-8nv2pdv" Type="http://schemas.openxmlformats.org/officeDocument/2006/relationships/hyperlink" Target="https://dalil.kg/document/230032629" TargetMode="External"/><Relationship Id="rIdij-emqzwsjfcbht_72x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2026-09-24T08:29:47.211Z</dcterms:created>
  <dcterms:modified xsi:type="dcterms:W3CDTF">2026-09-24T08:29:47.211Z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