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XIV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2022 года № 8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Ошского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городского Кенеша №212 от 25 декабря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“Об утверждении расчетов по определению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арендной платы за использование муниципальных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 (земельных участков) и карты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экономико-планировочных зон”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asvpv6tufwd-jloqpda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um3uycnmsdo8qsru6m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haslo4rnpnaofgsvev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w_aczcx7xx_g3gy-di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заслушав и обсудив информацию вице-мэра Ж.М.Азимова о внесении изменений в постановление Ошского городского Кенеша №212 от 25 декабря 2019 года “Об утверждении расчетов по определению арендной платы за использование муниципальных земель (земельных участков) и карты экономико-планировочных зон”, принимая во внимание решение постоянной депутатской комиссии Ошского городского Кенеша по вопросам архитектуры, строительства, муниципальной собственности, имущества, экологии, аграрии и чрезвычайных ситуаций №31 от 3 ноября 2022 года, а также предложения депутатов, высказанных в ходе сессии, Ошский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нижеследующие изменения в </w:t>
      </w:r>
      <w:hyperlink w:history="1" r:id="rIdjlrehhr_91ns_026kzd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№212 от 25 декабря 2019 года “Об утверждении расчетов по определению арендной платы за использование муниципальных земель (земельных участков) и карты экономико-планировочных зон”: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n9tz27rvzgdkuwkipk7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6rpovjgnfojxuog9-n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вышеназванного постановления следует читать в соответствии с Приложениями 1 и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(Р.Кулов) и опубликовать в средствах массовой информации (Ч.Абдиев).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аграрии и чрезвычайной ситуации (Бакир уулу Ш.).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Расчеты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определению арендной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платы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использование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муниципальных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земель (земельных участков)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расчеты на основании Гражданского </w:t>
      </w:r>
      <w:hyperlink w:history="1" r:id="rIdd0d1qroep6jmqct_lvc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Земельного кодекса Кыргызской Республики, Закона Кыргызской Республики «О статусе города Ош», Закона Кыргызской Республики «О базовых ставках земельного налога за пользование землями сельскохозяйственного назначения, приусадебными и дачными земельными участками, землями населенных пунктов и несельскохозяйственного назначения», </w:t>
      </w:r>
      <w:r>
        <w:rPr>
          <w:rFonts w:ascii="Arial" w:cs="Arial" w:eastAsia="Arial" w:hAnsi="Arial"/>
          <w:sz w:val="24"/>
          <w:szCs w:val="24"/>
        </w:rPr>
        <w:t xml:space="preserve">статей </w:t>
      </w:r>
      <w:hyperlink w:history="1" r:id="rIdqak2wnk1xikxwkraxx_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1ssrhxqoivoznhjycu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cuqfkregqnjxqatrab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5-foeny4svajvog9es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муниципальной собственности на имущество», с учетом постановления мэрии города Ош от 14 июня 2001 года № 587 и на основании иных нормативных правовых актов, определяющих арендные отношения, определяет порядок расчета арендной платы за земельные участки и укрепления договоров аренды.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Ап=НхSхК1хК2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</w:t>
      </w:r>
      <w:r>
        <w:rPr>
          <w:rFonts w:ascii="Arial" w:cs="Arial" w:eastAsia="Arial" w:hAnsi="Arial"/>
          <w:sz w:val="24"/>
          <w:szCs w:val="24"/>
        </w:rPr>
        <w:t xml:space="preserve">-ежемесячная арендная плата;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-ставка земельного налога согласно Налоговому Кодексу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-площадь земельного участка, квадратный метр;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К1</w:t>
      </w:r>
      <w:r>
        <w:rPr>
          <w:rFonts w:ascii="Arial" w:cs="Arial" w:eastAsia="Arial" w:hAnsi="Arial"/>
          <w:sz w:val="24"/>
          <w:szCs w:val="24"/>
        </w:rPr>
        <w:t xml:space="preserve">-коэффициент функционального назначения;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К2</w:t>
      </w:r>
      <w:r>
        <w:rPr>
          <w:rFonts w:ascii="Arial" w:cs="Arial" w:eastAsia="Arial" w:hAnsi="Arial"/>
          <w:sz w:val="24"/>
          <w:szCs w:val="24"/>
        </w:rPr>
        <w:t xml:space="preserve">–зона экономического планирования.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функциональных назначений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карьеры –</w:t>
      </w:r>
      <w:r>
        <w:rPr>
          <w:rFonts w:ascii="Arial" w:cs="Arial" w:eastAsia="Arial" w:hAnsi="Arial"/>
          <w:sz w:val="24"/>
          <w:szCs w:val="24"/>
        </w:rPr>
        <w:t xml:space="preserve">1,0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промышленность, горнодобывающие предприятия -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складские предприятия -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склад, катки - 4;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бассейн (с постройками и площадью) - 6;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самовольно возведенные ограждения безопасности – 20;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торговые навесы, кухонные навесы и сараи – 10;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малые предприятия до 500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., швейные мастерские (реставрация) -10;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 рынки – 14.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торговые центры, парикмахерские, мастерские по ремонту обуви, лестницы, общественное питание, автосервисы, автомастерские, автозаправки, автомойки, гостиницы, гостевые дома, офисы, биржи, торговые комплексы, компьютерные классы, переделанные </w:t>
      </w:r>
      <w:r>
        <w:rPr>
          <w:rFonts w:ascii="Arial" w:cs="Arial" w:eastAsia="Arial" w:hAnsi="Arial"/>
          <w:sz w:val="24"/>
          <w:szCs w:val="24"/>
        </w:rPr>
        <w:t xml:space="preserve">квартиры,  </w:t>
      </w:r>
      <w:r>
        <w:rPr>
          <w:rFonts w:ascii="Arial" w:cs="Arial" w:eastAsia="Arial" w:hAnsi="Arial"/>
          <w:sz w:val="24"/>
          <w:szCs w:val="24"/>
        </w:rPr>
        <w:t xml:space="preserve">салоны красоты, бизнес-центры, пункты связи, аптеки и </w:t>
      </w:r>
      <w:r>
        <w:rPr>
          <w:rFonts w:ascii="Arial" w:cs="Arial" w:eastAsia="Arial" w:hAnsi="Arial"/>
          <w:sz w:val="24"/>
          <w:szCs w:val="24"/>
        </w:rPr>
        <w:t xml:space="preserve">объекты частного обслуживания, </w:t>
      </w:r>
      <w:r>
        <w:rPr>
          <w:rFonts w:ascii="Arial" w:cs="Arial" w:eastAsia="Arial" w:hAnsi="Arial"/>
          <w:sz w:val="24"/>
          <w:szCs w:val="24"/>
        </w:rPr>
        <w:t xml:space="preserve">газетные киоски, киоски, </w:t>
      </w:r>
      <w:r>
        <w:rPr>
          <w:rFonts w:ascii="Arial" w:cs="Arial" w:eastAsia="Arial" w:hAnsi="Arial"/>
          <w:sz w:val="24"/>
          <w:szCs w:val="24"/>
        </w:rPr>
        <w:t xml:space="preserve">ларьки, пекарни, </w:t>
      </w:r>
      <w:r>
        <w:rPr>
          <w:rFonts w:ascii="Arial" w:cs="Arial" w:eastAsia="Arial" w:hAnsi="Arial"/>
          <w:sz w:val="24"/>
          <w:szCs w:val="24"/>
        </w:rPr>
        <w:t xml:space="preserve">бытовые услуги, процедурные кабинеты - 20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батуты, торговые места перед магазином - один квадратный метр (1м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земельного участка должен быть не менее 200 сомов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центральных улицах города Ош, вокруг центрального и малых рынков или в местах массового скопления людей, места, аттракционы и карусели, которые используются во временную аренду, должны стоить не менее 200 сомов за квадратный метр (1м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земельного участка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банки, ломбарды, обменные пункты, увеселительные заведения, казино, ночные клубы, трансформеры, временные площадки для караоке, один квадратный метр (1м2) земельного участка должен стоить не менее 200 сомов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газозаправки и пункты зарядки электромобилей должны стоить не менее 500 сомов за квадратный метр;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независимо от местонахождения банкоматов ежемесячная арендная плата должна быть не менее 5000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должна быть утверждена следующая табличная форма сезонной торговли. Сезонный договор на срок от одного до шести месяцев следует заключать, если место соответствует всем требованиям: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8"/>
        <w:gridCol w:w="4387"/>
        <w:gridCol w:w="2134"/>
        <w:gridCol w:w="3049"/>
      </w:tblGrid>
      <w:tr>
        <w:tc>
          <w:tcPr>
            <w:tcW w:type="dxa" w:w="6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3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Торговое наименование</w:t>
            </w:r>
          </w:p>
        </w:tc>
        <w:tc>
          <w:tcPr>
            <w:tcW w:type="dxa" w:w="21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договора аренды</w:t>
            </w:r>
          </w:p>
        </w:tc>
        <w:tc>
          <w:tcPr>
            <w:tcW w:type="dxa" w:w="30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аренды (сом)</w:t>
            </w:r>
          </w:p>
        </w:tc>
      </w:tr>
      <w:tr>
        <w:tc>
          <w:tcPr>
            <w:tcW w:type="dxa" w:w="6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Холодильники, установленные перед магазином 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6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Велосипеды, ударные автоматы (силомер), электросамокаты, электромотоциклы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6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машинка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</w:tr>
      <w:tr>
        <w:tc>
          <w:tcPr>
            <w:tcW w:type="dxa" w:w="6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Напитки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</w:tr>
      <w:tr>
        <w:tc>
          <w:tcPr>
            <w:tcW w:type="dxa" w:w="6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Промостойка (стол по продаже сим карт)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6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арбузов, дынь, овощей, фруктов и цветов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</w:tr>
      <w:tr>
        <w:tc>
          <w:tcPr>
            <w:tcW w:type="dxa" w:w="6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Мороженое, коктейль, аппараты газированных напитков, передвижные закусочные и т. д. гриль, тандыр, гриль-барбекю и другие сезонные уличные точки, веб кассы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Паровоз (детская игровая)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Нормативная ставка арендной платы для зоны К2: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зоны 1 – 2,8;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зоны 2 – 2,4;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зоны 3 – 2,0;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зоны 4 – 1,8;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зоны 5 – 1,4;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зоны 6 – 1,2;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зоны 7 – 0,9;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коэффициент К1 не указан выше для некоторых объектов, если здание не строится или строится, но не эксплуатируется, допускается применять коэффициент 2 для коэффициента К1.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если земельный участок расположен в людном месте, на пересечении улиц, вблизи крупных учреждений и административных центров, допускается применять поправочные коэффициенты коэффициента К1 от 2 до 5. В этом случае обоснование оформляется соответствующими специалистами в виде расчетного заключения или акта.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 согласованию с арендатором при расчете арендной платы за земельный участок, находящегося во временном пользовании, допускается увеличение арендной платы.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Ошское региональное управление градостроительства и архитектуры ранее выдало заключение или план земельного участка, на который заключен договор аренды с управлением муниципальной собственности, если направление или площадь участка не меняется, управление может самостоятельно продлить срок действия договора аренды без заключения.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площади благоустройства и озеленения (таблица №1):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Таблица №1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34"/>
        <w:gridCol w:w="1189"/>
        <w:gridCol w:w="782"/>
        <w:gridCol w:w="974"/>
        <w:gridCol w:w="1039"/>
        <w:gridCol w:w="974"/>
        <w:gridCol w:w="945"/>
        <w:gridCol w:w="1841"/>
      </w:tblGrid>
      <w:tr>
        <w:tc>
          <w:tcPr>
            <w:tcW w:type="dxa" w:w="2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и озеленение</w:t>
            </w:r>
          </w:p>
        </w:tc>
        <w:tc>
          <w:tcPr>
            <w:tcW w:type="dxa" w:w="1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9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1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9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  <w:tc>
          <w:tcPr>
            <w:tcW w:type="dxa" w:w="18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Цена: кв. м. (сом кв. м)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Апз =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SxC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Апз – размер ежемесячной арендной платы за земельный участок;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 – площадь земельного участка;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 – нормативная ставка арендной платы (сом. кв.м).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И.Э.Абдыраимов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экономико-планировочных зон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№1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 мини рынка «Прима-Hyp» (Ошский район), пр.И.Раззакова</w:t>
      </w:r>
      <w:r>
        <w:rPr>
          <w:rFonts w:ascii="Arial" w:cs="Arial" w:eastAsia="Arial" w:hAnsi="Arial"/>
          <w:sz w:val="24"/>
          <w:szCs w:val="24"/>
        </w:rPr>
        <w:t xml:space="preserve"> с правой стороны от пересечения с ул.Карасуйская до перекрестка, до пересечения с ул.Артыкова, с левой стороны до пересечения с ул.Салиевой;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ул.Артыкова от пересечения с пр.Раззакова до ул.Беш-Копуро;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сквер им.Пичугина (сквер космонавтов);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улицы Ж.Раимбекова, Уч-Кочо, Базарная, Центральный рынок;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ул.Ошская от мини рынка АО “Кара-Суу-Дан-Азык” включая территорию до школы им.Фрунзе;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ул.Карасуйская от мини рынка АО “Кара-Суу-Дан-Азык” до школы им.Навои;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ул.Карасуйская от пересечения с ул.Уч-Кочо до пр.Масалиева;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территория парка им.Навои;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ул.Ленина от пересечения с ул.Р.Абдыкадырова до ул.Мамажан, включая территорию Шайит-Тюбе и территорию до дома №551 ул.Ленина;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сквер Курманжан-Датка (возле универмага Ош);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ул.Мамажана от пересечения с ул.Базарная до ул.Токтогула;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 “Араванская”, ул.Курманжан-Датка, от ул.8-марта до ул.Моминовой, ул.Г.Айтиева от пересечения с ул.Ленина до ул.Алиева;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городской сквер “Алымбек датка айылы”;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сквер перед Домом счастья;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 мини рынка “Фрунзенская, ул.Курманжан датка от пересечения с ул.М.Джиннах (Советская) до ул.Грибоедова;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ул.Монуева от пересечения с пр.Масалиева включая правую, левую стороны, до ул.Верхне-Увамская (до конца территории Ошской областной клинической больницы);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пр.Масалиева от пересечения с ул.Карасуйская (Ошский район) до памятника А.Масалиеву возле ул.Ленинградская включая правую, левую стороны;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ул.Б.Осмонова (круговая) до СШ им.П.Нышанова;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ул.Кокумбий от пересечения с ул.Б.Осмонова до конечной остановки маршрутки №113;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ул.Р.Абдыкадырова от пересечения с пр.А.Масалиева до ул.К.Датка;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ул.Р.Абдыкадырова от пересечения с ул.Ленина до ул.Жунусова;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ул.Р.Абдыкадырова от пересечения с ул.К.Датка до ул.Жунусова;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пересечений улиц Толонова, Ворошилова до дома 328 ул.Толонова;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сквер по ул.Алиева, между ул.М.Джиннах (Советская) и Асранкулова;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пересечения улиц Мамырова и Закирова до ул.Амир Темура (Калинина);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центральная площадь им.Ленина;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территория парка им.Токтогула, включая территорию бассейна.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зона №2: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ул.Мажиримтал от пересечения с ул.Навои до кафе-бара “Кымыз-Бар”;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ул.Б.Осмонова </w:t>
      </w:r>
      <w:r>
        <w:rPr>
          <w:rFonts w:ascii="Arial" w:cs="Arial" w:eastAsia="Arial" w:hAnsi="Arial"/>
          <w:sz w:val="24"/>
          <w:szCs w:val="24"/>
        </w:rPr>
        <w:t xml:space="preserve">от пересечения с ул.Р.Абдыкадырова до ресторана “Олигарх” (Мундуз), кафе “Нирвана”;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ул.Курманжан Датка от пересечения с ул.М.Джиннах (Советская) до ул.Моминова;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сквер им.И.Раззакова;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ул.Ленина от пересечения с ул.Ломоносова до ул.Р.Абдыкадырова;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сквер между облгосадминистрацией и церковью;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театральный сквер вокруг Кыргызского драматического театра;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ул.Амира Темура (Калинина) от пересечения с ул.Г.Айтиева до ул.Мамырова;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ул.Мамырова от пересечения с ул.К.Датка до ул.А.Темура;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-район Ошского Кыргызско-Узбекского университета и окрестности кафе “Жетиген”, до ул.Ташкентская, парк Победы;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-район кафе “Айкол”, сквер мкр.Курманжан-Датка (Юго-Восток), включая конечную остановку маршрутки №2, до ул.Мирсаатова;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ул.Г.Айтиева от пересечения с ул.Алиева до АЗС “Сулайман-Тоо”;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ул.Р.Абдыкадырова от ул.А.Темура до ул.Б.Осмонова;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ул.А.Шакирова от ул.И.Монуева до ресторана “Казына”;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пересечения улиц Санкт-Петербургская и Мамырова до ул.№44;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пересечения улиц Атабаева и Мамырова до ул.Ленинабадская;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ул.М.Алымбекова (Фрунзенская) от пересечения с ул.Ленина до ул.К.Датка;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ул.Нурматова полностью от ул.Ленина до ул.А.Шакирова;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пересечений улиц Мамырова и А.Темура до ресторана “Касиет”;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микрорайон “Анар” полностью.</w:t>
      </w:r>
    </w:p>
    <w:p>
      <w:pPr>
        <w:spacing w:after="120"/>
        <w:ind w:firstLine="99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зона №3: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-пр.А.Масалиева начиная от памятника А.Масалиеву до пересечения ул.Нурматова;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окрестности Сулайман-Тоо;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-пр.И.Раззакова от ул.Артыкова (от банка </w:t>
      </w:r>
      <w:r>
        <w:rPr>
          <w:rFonts w:ascii="Arial" w:cs="Arial" w:eastAsia="Arial" w:hAnsi="Arial"/>
          <w:sz w:val="24"/>
          <w:szCs w:val="24"/>
        </w:rPr>
        <w:t xml:space="preserve">«KICB») до магазина “Гулкайыр”, до поворота к Госрегистру;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-ул.Гренажная от пересечения с ул.Нурматова до ул.А.Шакирова, район сквера шелкокомбината (Жибек);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-ул.Р.Абдыкадырова от пересечения с ул.К.Датка до ул.Алиева (Хохлова);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ул.Мамырова от пересечения с ул.А.Темур до ул.Б.Осмонова;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ул.Р.Абдыкадырова от пересечения с ул.К.Датка до ул.А.Темура;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ул.Ленина от пересечения с ул.Водопроводная до ул.Нурматова (Голубева);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ул.Асранкулова от ул.К.Датка до ул.Алиева (Хохлова);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ул.Г.Айтиева начиная от АЗС “Сулайман-Тоо” до пересечения с ул.Б.Осмонова-Ахмедова;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внутренний квартал мкр.Т.Кулатова;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ул.Кокумбий от конечной остановки маршрутки №113 трасса Ош-Араван до поворота села Кенеш;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ул.Касымбекова, окрестности городской ГАИ и терек базар;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ул.Ленина от дома №551, до пересечения ул.Касымбекова;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ул.Курманжан Датка от пересечения с ул.8-марта до ул.Касымбекова;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ул.Ленина от дома №551 до пересечения ул.Касымбекова; мкр.”Амир-Темур” (улицы С.Айни-Имам Ата);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ул.У.Салиевой, от банка «KICB» до дома №40 (дом гармошка) по ул.У.Салиевой;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ул.А.Шакирова от ресторана “Казына” до СШ №2 им Карла Маркса;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неназванные территории мкр.Туран;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ул.Ишматова от пересечения с ул.Толонова до конечной остановки маршруток №9 и №22, включая территорию мини рынка;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ул.Толонова, от пересечения с ул.Низами до ул.Ишматова (Южный);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территория мини рынка “Нуманжан” (геологогородок), ул.Суюмбаева (Шахтерская), ул.Низами;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-мкр.Ак-Тилек полностью; ул.Т.Турсунбаевой (Привокзальная) полностью;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-ул.Курманжан Датка от пересечения с ул.Суюнбаева до ул.М.Алымбекова (Фрунзенская);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ул.А.Жунусова (Чапаева) от пересечения с ул.Ленина до ул.Алиева;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внутренние кварталы мкр.”Черемушки” и “Достук”;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авиагородок возле аэропорта города Ош;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ул.Н.Исанова от Кыргызско-Узбекского университета до конечной остановки троллейбуса.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зона №4: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пр.Раззакова от магазина “Гулкайыр” от поворота к Госрегистру до ул.Касымбекова;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ул.Навои </w:t>
      </w:r>
      <w:r>
        <w:rPr>
          <w:rFonts w:ascii="Arial" w:cs="Arial" w:eastAsia="Arial" w:hAnsi="Arial"/>
          <w:sz w:val="24"/>
          <w:szCs w:val="24"/>
        </w:rPr>
        <w:t xml:space="preserve">от пересечения с ул.К.Датка до ул.Алебастрова;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ул.Ашимахунова от пересечения с ул.А.Масалиева до старой нефтебазы;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сквер “Ата-Турк”, территория кинотеатра “Кыргызстан”, до ул.Г.Айтиева;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территория областного роддома, улицы Школьная, Шота-Руставели, территория вокруг областной СЭС, ул.Урицкая, от ул.Школьная до ул.Р.Абдыкадырова;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ул.Касымбекова от пр.И.Раззакова до АЗС “Кайнар”;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ул.Касымбекова до дома №44 (гармошка) по ул.Салиевой;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ул.Артыкова до конца улиц М.Ахунова и Темир жол;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-пр.И.Раззакова от пересечения с ул.Касымбекова до железнодорожного переезда;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ул.Ленина начиная от с.Тулейкен до пересечения с ул.Водопроводная;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ул.Р.Абдыкадырова от пересечения с ул.Алиева до ул.А.Темура;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внутренние кварталы мкр.Туран и Дачные участки полностью.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зона №5: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ул.Касымбекова </w:t>
      </w:r>
      <w:r>
        <w:rPr>
          <w:rFonts w:ascii="Arial" w:cs="Arial" w:eastAsia="Arial" w:hAnsi="Arial"/>
          <w:sz w:val="24"/>
          <w:szCs w:val="24"/>
        </w:rPr>
        <w:t xml:space="preserve">от пересечения с ул.Салиевой до ул.К.Датка;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ул.Мадумарова полностью;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территории внутренних кварталов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зона № 6: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МТУ “Амир-Темур” и Жапалакское территориальное управление сёл города Ош (внутренние кварталы).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зона №7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названные улицы в окрестностях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И.Э.Абдыраимов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y91trmzgfut8upob5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dalil.kg/document/230032632</w:t>
      </w:r>
    </w:hyperlink>
  </w:p>
  <w:p>
    <w:pPr>
      <w:spacing w:after="0" w:before="40"/>
      <w:jc w:val="center"/>
    </w:pPr>
    <w:hyperlink w:history="1" r:id="rId7s4bf-s3wy-hyxcbfay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vpv6tufwd-jloqpdavj" Type="http://schemas.openxmlformats.org/officeDocument/2006/relationships/hyperlink" Target="https://dalil.kg/document/112302#st_27" TargetMode="External"/><Relationship Id="rIdvum3uycnmsdo8qsru6mtj" Type="http://schemas.openxmlformats.org/officeDocument/2006/relationships/hyperlink" Target="https://dalil.kg/document/112302#st_34" TargetMode="External"/><Relationship Id="rIdlhaslo4rnpnaofgsveviu" Type="http://schemas.openxmlformats.org/officeDocument/2006/relationships/hyperlink" Target="https://dalil.kg/document/112302#st_39" TargetMode="External"/><Relationship Id="rIdqw_aczcx7xx_g3gy-dicj" Type="http://schemas.openxmlformats.org/officeDocument/2006/relationships/hyperlink" Target="https://dalil.kg/document/112302#st_40" TargetMode="External"/><Relationship Id="rIdjlrehhr_91ns_026kzdra" Type="http://schemas.openxmlformats.org/officeDocument/2006/relationships/hyperlink" Target="https://dalil.kg/document/432378" TargetMode="External"/><Relationship Id="rIdn9tz27rvzgdkuwkipk78y" Type="http://schemas.openxmlformats.org/officeDocument/2006/relationships/hyperlink" Target="https://dalil.kg/document/432378#pr1" TargetMode="External"/><Relationship Id="rIdg6rpovjgnfojxuog9-n2p" Type="http://schemas.openxmlformats.org/officeDocument/2006/relationships/hyperlink" Target="https://dalil.kg/document/432378#st_2" TargetMode="External"/><Relationship Id="rIdd0d1qroep6jmqct_lvcd0" Type="http://schemas.openxmlformats.org/officeDocument/2006/relationships/hyperlink" Target="https://dalil.kg/document/4" TargetMode="External"/><Relationship Id="rIdqak2wnk1xikxwkraxx_2h" Type="http://schemas.openxmlformats.org/officeDocument/2006/relationships/hyperlink" Target="https://dalil.kg/document/112302#st_27" TargetMode="External"/><Relationship Id="rIdw1ssrhxqoivoznhjycuxr" Type="http://schemas.openxmlformats.org/officeDocument/2006/relationships/hyperlink" Target="https://dalil.kg/document/112302#st_34" TargetMode="External"/><Relationship Id="rIdacuqfkregqnjxqatrabg2" Type="http://schemas.openxmlformats.org/officeDocument/2006/relationships/hyperlink" Target="https://dalil.kg/document/112302#st_39" TargetMode="External"/><Relationship Id="rIdd5-foeny4svajvog9eslb" Type="http://schemas.openxmlformats.org/officeDocument/2006/relationships/hyperlink" Target="https://dalil.kg/document/112302#st_4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y91trmzgfut8upob5lw" Type="http://schemas.openxmlformats.org/officeDocument/2006/relationships/hyperlink" Target="https://dalil.kg/document/230032632" TargetMode="External"/><Relationship Id="rId7s4bf-s3wy-hyxcbfay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2026-09-29T15:16:09.113Z</dcterms:created>
  <dcterms:modified xsi:type="dcterms:W3CDTF">2026-09-29T15:16:09.113Z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