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t3yd4cbuaal8insuoo2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руководство по маркировке «зеленых»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расходов бюджета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Руководство по маркировке «зеленых» расходов бюджета (далее – Руководство) разработано в целях определения и отслеживания «зеленых» расходов бюджета, направленных на финансирование мер по выполнению национальных и международных обязательств в области климата и окружающей среды.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Целью настоящего Руководства является </w:t>
      </w:r>
      <w:r>
        <w:rPr>
          <w:rFonts w:ascii="Arial" w:cs="Arial" w:eastAsia="Arial" w:hAnsi="Arial"/>
          <w:sz w:val="24"/>
          <w:szCs w:val="24"/>
        </w:rPr>
        <w:t xml:space="preserve">определение правил и процедур идентификации, классификации, маркировки, контроля качества, анализа и составления отчетов о «зеленых» расходах бюджета для отслеживания ассигнований республиканского бюджета на смягчение последствий изменения климата (далее – СПИК), адаптацию к изменению климата (далее – АИК) и охрану окружающей среды (далее – ООС).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Руководство предназначено для всех главных распорядителей бюджетных средств (далее – ГРБС), финансируемых из республиканского бюджета. В Руководстве определены и уточнены обязанности соответствующих министерств и ведомств по маркировке и представлению данных о «зеленых» расходах бюджета, а также по обеспечению качества предоставления этих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Руководство устанавливает порядок представления данных о «зеленых» расходах бюджета в дополнение к документам, представляемым в рамках бюджетирования на программной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Основные понятия и определения, применяемые в настоящем Руководстве: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«зеленые» расходы</w:t>
      </w:r>
      <w:r>
        <w:rPr>
          <w:rFonts w:ascii="Arial" w:cs="Arial" w:eastAsia="Arial" w:hAnsi="Arial"/>
          <w:sz w:val="24"/>
          <w:szCs w:val="24"/>
        </w:rPr>
        <w:t xml:space="preserve"> – это средства республиканского бюджета на реализацию мер по СПИК, АИК и ООС, определенных в национальных стратегических и программных документах Кыргызской Республики. Ключевой характеристикой «зеленых» расходов является то, что они способствуют переходу к низкоуглеродной экономике, устойчивой к изменению климата.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расходы на СПИК</w:t>
      </w:r>
      <w:r>
        <w:rPr>
          <w:rFonts w:ascii="Arial" w:cs="Arial" w:eastAsia="Arial" w:hAnsi="Arial"/>
          <w:sz w:val="24"/>
          <w:szCs w:val="24"/>
        </w:rPr>
        <w:t xml:space="preserve"> – это «зеленые» расходы на мероприятия, направленные на сокращение или предотвращение выбросов парниковых газов (далее – ПГ). Цель смягчения – ограничить масштабы будущего глобального потепления. Мероприятия по смягчению последствий изменения климата способствуют: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ограничению антропогенных выбросов ПГ;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защите и/или увеличению поглотителей и накопителей ПГ;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интеграции проблем изменения климата с национальными, региональными и/или отраслевыми целями посредством институционального строительства, развития потенциала, укрепления нормативно-правовой базы и политики или проведения исследований;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поддержке усилий Кыргызской Республики по выполнению своих обязательств в рамках Рамочной конвенции Организации Объединенных Наций об изменении климата;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расходы на АИК</w:t>
      </w:r>
      <w:r>
        <w:rPr>
          <w:rFonts w:ascii="Arial" w:cs="Arial" w:eastAsia="Arial" w:hAnsi="Arial"/>
          <w:sz w:val="24"/>
          <w:szCs w:val="24"/>
        </w:rPr>
        <w:t xml:space="preserve"> – это «зеленые» расходы на меры, направленные на реализацию любой из трех глобальных целей Парижского соглашения в области адаптации к изменению климата (статья 7):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усиление адаптационного потенциала;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повышение устойчивости к негативным воздействиям изменения климата;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снижение уязвимости человеческих и природных систем к последствиям этих воздействий.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АИК включает в себя целый ряд мероприятий – от получения информации и знаний до развития потенциала, планирования и реализации мер по адаптации к изменению климата;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расходы на ООС</w:t>
      </w:r>
      <w:r>
        <w:rPr>
          <w:rFonts w:ascii="Arial" w:cs="Arial" w:eastAsia="Arial" w:hAnsi="Arial"/>
          <w:sz w:val="24"/>
          <w:szCs w:val="24"/>
        </w:rPr>
        <w:t xml:space="preserve"> – это «зеленые» расходы на реализацию мер, связанных с охраной окружающей среды, экологическими объектами и ресурсами (воздух, вода, почва, ледники, другие экологические ресурсы, природа и биоразнообразие), защиту здоровья человека и природных систем от негативного воздействия загрязнения (включая ионизирующее и неионизирующее излучение) и обеспечение эффективного использования экологических и природных ресурсов;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маркировка «зеленых» расходов бюджета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МЗРБ)</w:t>
      </w:r>
      <w:r>
        <w:rPr>
          <w:rFonts w:ascii="Arial" w:cs="Arial" w:eastAsia="Arial" w:hAnsi="Arial"/>
          <w:sz w:val="24"/>
          <w:szCs w:val="24"/>
        </w:rPr>
        <w:t xml:space="preserve"> – это возглавляемый Кабинетом Министров Кыргызской Республики процесс определения и применения «зеленой» маркировки для идентификации, измерения и мониторинга «зеленых» государственных расходов. МЗРБ осуществляется посредством определения бюджетных мер в бюджетах на программной основе ГРБС, которые полностью или частично способствуют реализации задач по СПИК, АИК и ООС. Таким бюджетным мерам присваивается один или несколько «зеленых» маркеров – СПИК, АИК и/или ООС – с соответствующими удельными весами, используемыми для расчета «зеленых» расходов в рамках конкретной бюджетной меры;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классификация МЗРБ</w:t>
      </w:r>
      <w:r>
        <w:rPr>
          <w:rFonts w:ascii="Arial" w:cs="Arial" w:eastAsia="Arial" w:hAnsi="Arial"/>
          <w:sz w:val="24"/>
          <w:szCs w:val="24"/>
        </w:rPr>
        <w:t xml:space="preserve"> – это стандартизированная система, которая позволяет привязать расходы бюджета к определенному приоритету политики. Для классификации «зеленых» расходов в республиканском бюджете используются следующие три категории маркеров: 1) СПИК; 2) АИК; 3) ООС;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удельные веса «зеленых» расходов</w:t>
      </w:r>
      <w:r>
        <w:rPr>
          <w:rFonts w:ascii="Arial" w:cs="Arial" w:eastAsia="Arial" w:hAnsi="Arial"/>
          <w:sz w:val="24"/>
          <w:szCs w:val="24"/>
        </w:rPr>
        <w:t xml:space="preserve"> – это доля (в процентах) «зеленых» расходов в бюджетной мере, получившей «зеленую» маркировку, то есть фактические расходы на климат и окружающую среду. Определение удельного веса «зеленых» расходов необходимо, так как «зеленые» расходы могут быть только частью расходов по конкретной бюджетной мере и отражать расходы на отдельные мероприятия в рамках бюджетной меры;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потенциально «зеленые» расходы – это меры, которым присвоен удельный вес «потенциальный», поскольку нет достаточной информации для присвоения им других удельных весов. Такие меры не учитываются при расчете расходов на СПИК, АИК и ООС.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Процесс маркировки «зеленых» расходов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Процесс маркировки «зеленых» расходов бюджета является частью разработки бюджета на программной основе и Среднесрочной стратегии бюджетных расходов (далее – ССБР). ГРБС представляют дополнительно информацию о «зеленых» расходах в Министерство финансов (далее – МФ) вместе с проектом ССБР и проектом бюджета на программной основе.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Этот процесс включает в себя присвоение маркеров, обеспечение качества, анализ и отчетность: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присвоение маркеров:</w:t>
      </w:r>
      <w:r>
        <w:rPr>
          <w:rFonts w:ascii="Arial" w:cs="Arial" w:eastAsia="Arial" w:hAnsi="Arial"/>
          <w:sz w:val="24"/>
          <w:szCs w:val="24"/>
        </w:rPr>
        <w:t xml:space="preserve"> определение «зеленых» расходов в бюджете на программной основе на уровне мероприятий и бюджетных мер, классификация их по категориям маркеров (СПИК, АИК, ООС), определение удельных весов значимости, отражающих степень вклада мер в достижение «зеленых» целей, для расчета расходов. Данное действие осуществляется в ходе разработки ССБР, после чего маркеры и удельные веса значимости применяются при формировании проекта программного бюджета ГРБС;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качества:</w:t>
      </w:r>
      <w:r>
        <w:rPr>
          <w:rFonts w:ascii="Arial" w:cs="Arial" w:eastAsia="Arial" w:hAnsi="Arial"/>
          <w:sz w:val="24"/>
          <w:szCs w:val="24"/>
        </w:rPr>
        <w:t xml:space="preserve"> обсуждение классификаций и удельных весов значимости на заседаниях рабочих групп по подготовке ССБР и бюджетов на программной основе на уровне каждого ГРБС и проводимых общественных слушаниях, обсуждение климатических и экологических классификаций и удельных весов с Министерством природных ресурсов, экологии и технического надзора (далее – МПРЭТН), включение информации, обосновывающей маркировку, в паспорта бюджетных программ</w:t>
      </w:r>
      <w:hyperlink w:history="1" r:id="rIdjeo2qeidqimahcliock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[1]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анализ и отчетность:</w:t>
      </w:r>
      <w:r>
        <w:rPr>
          <w:rFonts w:ascii="Arial" w:cs="Arial" w:eastAsia="Arial" w:hAnsi="Arial"/>
          <w:sz w:val="24"/>
          <w:szCs w:val="24"/>
        </w:rPr>
        <w:t xml:space="preserve"> дополнение пояснительной записки к проекту бюджета, представляемого МФ в Кабинет Министров Кыргызской Республики, а затем в Жогорку Кенеш Кыргызской Республики, информацией о «зеленых» расходах, консолидированной МФ в ходе подготовки бюджета. Стандартные формы отчетности, определенные в «Порядке проведения мониторинга бюджетных программ и представления отчетов о достижении показателей результативности бюджетных программ и мер»</w:t>
      </w:r>
      <w:hyperlink w:history="1" r:id="rId6rp2fi6kf3c3bpzgy8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[2]</w:t>
        </w:r>
      </w:hyperlink>
      <w:r>
        <w:rPr>
          <w:rFonts w:ascii="Arial" w:cs="Arial" w:eastAsia="Arial" w:hAnsi="Arial"/>
          <w:sz w:val="24"/>
          <w:szCs w:val="24"/>
        </w:rPr>
        <w:t xml:space="preserve">, представляемые ГРБС, дополняются информацией о реализации «</w:t>
      </w:r>
      <w:r>
        <w:rPr>
          <w:rFonts w:ascii="Arial" w:cs="Arial" w:eastAsia="Arial" w:hAnsi="Arial"/>
          <w:sz w:val="24"/>
          <w:szCs w:val="24"/>
        </w:rPr>
        <w:t xml:space="preserve">зеленых</w:t>
      </w:r>
      <w:r>
        <w:rPr>
          <w:rFonts w:ascii="Arial" w:cs="Arial" w:eastAsia="Arial" w:hAnsi="Arial"/>
          <w:sz w:val="24"/>
          <w:szCs w:val="24"/>
        </w:rPr>
        <w:t xml:space="preserve">» расходов. МФ консолидирует информацию о фактическом исполнении «зеленых» расходов и представляет ее в пояснительной записке к отчету об исполнении республиканского бюджета. Эта информация также включается в гражданский бюджет. Кроме того, эта информация направляется в МПРЭТН, Министерство экономики и коммерции (далее – МЭК) </w:t>
      </w:r>
      <w:r>
        <w:rPr>
          <w:rFonts w:ascii="Arial" w:cs="Arial" w:eastAsia="Arial" w:hAnsi="Arial"/>
          <w:sz w:val="24"/>
          <w:szCs w:val="24"/>
        </w:rPr>
        <w:t xml:space="preserve">и Координационный совет по вопросам экологии, изменения климата и развития «зеленой» экономики Кыргызской Республики (далее – КСЭИКРЗЭ) для анализа и выработки рекомендаций</w:t>
      </w:r>
      <w:r>
        <w:rPr>
          <w:rFonts w:ascii="Arial" w:cs="Arial" w:eastAsia="Arial" w:hAnsi="Arial"/>
          <w:sz w:val="24"/>
          <w:szCs w:val="24"/>
        </w:rPr>
        <w:t xml:space="preserve">. ГРБС проводят анализ фактического исполнения «зеленых» расходов для принятия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Для ГРБС, формирующих ССБР, процесс маркировки «зеленых» расходов бюджета начинается с первоначального присвоения маркеров. На этапе формирования ССБР ГРБС </w:t>
      </w:r>
      <w:r>
        <w:rPr>
          <w:rFonts w:ascii="Arial" w:cs="Arial" w:eastAsia="Arial" w:hAnsi="Arial"/>
          <w:sz w:val="24"/>
          <w:szCs w:val="24"/>
        </w:rPr>
        <w:t xml:space="preserve">определяют «зеленые» бюджетные меры в своих бюджетах на программной основе. Меры, содержащие «зеленые» расходы, классифицируются по категориям, т.е. как меры по СПИК, АИК или ООС. Важно отметить, что одна мера может относиться более чем к одной из указанных категорий. После классификации бюджетных мер определяются удельные веса значимости. Классификация и присвоение удельных весов представлены в соответствующем разделе настоящего Руководства.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В рамках обеспечения качества при подготовке ССБР ГРБС представляют предложенные ими классификации и удельные веса значимости бюджетных мер в ходе общественных обсуждений и заседаний рабочих групп. Для получения консультаций на такие обсуждения могут быть приглашены представители МПРЭТН. В МПРЭТН можно также обратиться за консультацией по соответствующим вопросам (например: по определению, классификации и/или присвоению удельных весов значимости).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После присвоения маркеров и последующего контроля качества ГРБС, формирующие ССБР, применяют их при формировании и обсуждении бюджетов на программной основе. На этом этапе маркировка применяется к бюджетным мерам в программном бюджете, и рассчитываются «зеленые» расходы. </w:t>
      </w:r>
      <w:r>
        <w:rPr>
          <w:rFonts w:ascii="Arial" w:cs="Arial" w:eastAsia="Arial" w:hAnsi="Arial"/>
          <w:sz w:val="24"/>
          <w:szCs w:val="24"/>
        </w:rPr>
        <w:t xml:space="preserve">При необходимости на этом этапе классификация и удельные веса значимости могут быть пересмотрены, но обычно остается та же маркировка, которая была присвоена</w:t>
      </w:r>
      <w:r>
        <w:rPr>
          <w:rFonts w:ascii="Arial" w:cs="Arial" w:eastAsia="Arial" w:hAnsi="Arial"/>
          <w:sz w:val="24"/>
          <w:szCs w:val="24"/>
        </w:rPr>
        <w:t xml:space="preserve"> при подготовке ССБР.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ГРБС, которые не представляют ССБР, начинают процесс во время формирования бюджетов на программной основе посредством определения и классификации «зеленых» бюджетных мер по соответствующим категориям. После классификации бюджетных мер определяются удельные веса значимости. Классификация и присвоение удельных весов представлены в разделе 4 настоящего Руководства.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В рамках обеспечения качества при подготовке проекта бюджета на программной основе ГРБС обсуждают классификацию, удельные веса значимости и расчеты «зеленых» расходов в ходе общественных обсуждений и заседаний рабочих групп. Для получения консультаций на такие обсуждения могут быть приглашены представители МПРЭТН.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ГРБС представляют в МФ информацию о «зеленой» маркировке бюджета по формам, представленным в приложениях 1 и 2 к настоящему Руководству, вместе с проектом бюджета на программной основе ГРБС. Далее МФ рассматривает представленные документы на соответствие требованиям настоящего Руководства согласно приложению 5 к настоящему Руководству. При выявлении недостатков МФ возвращает документы на доработку ГРБС. При наличии замечаний и предложений ГРБС дорабатывают информацию о «зеленых» расходах в течение 3 рабочих дней и представляют ее повторно в МФ.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МФ консолидирует информацию о расходах на СПИК, АИК и ООС, полученную от всех ГРБС, и представляет ее в пояснительной записке к законопроекту о республиканском бюджете для ознакомления и принятия решений по дальнейшему выполнению национальных и международных обязательств по СПИК, АИК и ООС.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Информация о расходах по категориям «зеленых» расходов также включается в гражданский бюджет на этапе планирования и утверждения бюджета.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По итогам года ГРБС формируют информацию о фактических расходах на СПИК, АИК и ООС по форме, приведенной в приложении 3 к настоящему Руководству. Если в ходе исполнения бюджета в бюджет ГРБС была добавлена новая бюджетная программа или мера, ГРБС маркирует эту программу или меру в соответствии с процедурой, описанной в разделе 4 настоящего Руководства, и представляет необходимое обоснование по форме, приведенной в приложении 2 к настоящему Руководству. ГРБС представляют в МФ информацию о фактическом исполнении «зеленых» расходов в дополнение к отчету о мониторинге и достижении показателей результативности бюджетных программ/мер в сроки, установленные законодательством</w:t>
      </w:r>
      <w:hyperlink w:history="1" r:id="rIdcgohqkwifrufjzkb2ht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[3]</w:t>
        </w:r>
      </w:hyperlink>
      <w:r>
        <w:rPr>
          <w:rFonts w:ascii="Arial" w:cs="Arial" w:eastAsia="Arial" w:hAnsi="Arial"/>
          <w:sz w:val="24"/>
          <w:szCs w:val="24"/>
        </w:rPr>
        <w:t xml:space="preserve">. Кроме того, ГРБС используют эту информацию для улучшения планирования бюджета на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МФ консолидирует информацию о фактических расходах на СПИК, АИК и ООС и представляет ее в пояснительной записке к отчету об исполнении республиканского бюджета за соответствующий год.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МФ направляет информацию о фактических «зеленых» расходах в МПРЭТН, МЭК и КСЭИКРЗЭ для анализа и использования при мониторинге достижения экологических и климатических целей, хода реализации национальных и международных обязательств, а также для использования при разработке и внедрении «зеленых» финансовых инструментов, направленных на увеличение финансирования </w:t>
      </w:r>
      <w:r>
        <w:rPr>
          <w:rFonts w:ascii="Arial" w:cs="Arial" w:eastAsia="Arial" w:hAnsi="Arial"/>
          <w:sz w:val="24"/>
          <w:szCs w:val="24"/>
        </w:rPr>
        <w:t xml:space="preserve">мер по СПИК, АИК и ООС.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Информация о фактических расходах на СПИК, АИК и ООС также включается в гражданский бюджет в отчете об исполнении республиканского бюджета.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В таблице 1 кратко описаны функции министерств и ведомств в процессе маркировки «зеленых» расходов бюджета. В таблице 2 представлена информация об интеграции маркировки «зеленых» расходов в бюджетный процесс.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mk-ultqfmeav-oekw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dalil.kg/document/230032791</w:t>
      </w:r>
    </w:hyperlink>
  </w:p>
  <w:p>
    <w:pPr>
      <w:spacing w:after="0" w:before="40"/>
      <w:jc w:val="center"/>
    </w:pPr>
    <w:hyperlink w:history="1" r:id="rIdv1xdres9amgrzzfddsx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yd4cbuaal8insuoo2od" Type="http://schemas.openxmlformats.org/officeDocument/2006/relationships/hyperlink" Target="https://dalil.kg/document/230032788" TargetMode="External"/><Relationship Id="rIdjeo2qeidqimahcliockrm" Type="http://schemas.openxmlformats.org/officeDocument/2006/relationships/hyperlink" Target="https://dalil.kg/document/230032791#_ftn1" TargetMode="External"/><Relationship Id="rId6rp2fi6kf3c3bpzgy8tqf" Type="http://schemas.openxmlformats.org/officeDocument/2006/relationships/hyperlink" Target="https://dalil.kg/document/230032791#_ftn2" TargetMode="External"/><Relationship Id="rIdcgohqkwifrufjzkb2htco" Type="http://schemas.openxmlformats.org/officeDocument/2006/relationships/hyperlink" Target="https://dalil.kg/document/230032791#_ftn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mk-ultqfmeav-oekw_d" Type="http://schemas.openxmlformats.org/officeDocument/2006/relationships/hyperlink" Target="https://dalil.kg/document/230032791" TargetMode="External"/><Relationship Id="rIdv1xdres9amgrzzfddsx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2026-09-27T08:54:45.199Z</dcterms:created>
  <dcterms:modified xsi:type="dcterms:W3CDTF">2026-09-27T08:54:45.199Z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