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XVIII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размера сборов муниципальных предприятий «Дирекции центрального рынка мэрии города Ош» и «Авторынок Жапалак»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orppwma-a0_uxwueb2e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начальника отдела мэрии Т.Кайымова об утверждении размера сборов муниципальных предприятий «Дирекция центрального рынка мэрии города Ош» и «Авторынок Жапалак», принимая во внимание решение постоянной депутатской комиссии Ошского городского Кенеша по вопросам бюджета, экономики и промышленности №8 от 16 мая 2023 года,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 сборов муниципального предприятия «Дирекции центрального рынка мэрии города Ош»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размер сборов муниципального предприятия «Авторынок Жапалак»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утратившими силу </w:t>
      </w:r>
      <w:hyperlink w:history="1" r:id="rIdljwswoff9z8hc_hxsnd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№116 от 4 июля 2013 года «Об утверждении временного прейскуранта разовых сборов муниципального предприятия «Жапалак автоунаа базары» города Ош и пункта 1 </w:t>
      </w:r>
      <w:hyperlink w:history="1" r:id="rIdky6aslqyp8vuo1adnyz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№322 от 10 февраля 2016 года “Об увеличении стоимости взимаемого сбора с легковых автомашин, въезжающих в воскресные дни в муниципальное предприятие «Жапалак унаа базары».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мэрии города Ош (Б.Жетигенов) обеспечить соответствующие мероприятия по осуществлению приема в безналичной форме сборов муниципального предприятия «Авторынок Жапалак».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Данное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постановлению очередной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сессии Ошского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134 </w:t>
      </w:r>
      <w:r>
        <w:rPr>
          <w:rFonts w:ascii="Arial" w:cs="Arial" w:eastAsia="Arial" w:hAnsi="Arial"/>
          <w:sz w:val="24"/>
          <w:szCs w:val="24"/>
        </w:rPr>
        <w:t xml:space="preserve">от 30.05.2023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сборов муниципального предприятия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“Дирекция центрального рынка города Ош”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(включая налог на добавленную стоимость и налог с продаж)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1"/>
        <w:gridCol w:w="7062"/>
        <w:gridCol w:w="2175"/>
      </w:tblGrid>
      <w:tr>
        <w:tc>
          <w:tcPr>
            <w:tcW w:type="dxa" w:w="9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7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сборов</w:t>
            </w:r>
          </w:p>
        </w:tc>
        <w:tc>
          <w:tcPr>
            <w:tcW w:type="dxa" w:w="2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Сумма, сомов</w:t>
            </w:r>
          </w:p>
        </w:tc>
      </w:tr>
      <w:tr>
        <w:tc>
          <w:tcPr>
            <w:tcW w:type="dxa" w:w="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временного торгового места для торговли (на одно торговое место)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торгового места для торговли с ларьков, навесов, прилавок (за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торгового места для торговли с контейнеров (за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въезд на территорию рынка автотранспортных средств: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грузовой автотранспорт (грузоподъемностью свыше 5 тонн)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автомобили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легкий грузовой транспорт (мотороллеры)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тележки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и закупочных актов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договора с продавцами / арендаторами (на один год)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бытовых отходов с коммерческих объектов (магазины, объекты общественного питания, парикмахерские и др. торговые объекты), (на один месяц за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</w:tr>
      <w:tr>
        <w:tc>
          <w:tcPr>
            <w:tcW w:type="dxa" w:w="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бытовых отходов торговых объектов (контейнеры, ларьки, навесы, прилавки), (на один месяц)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236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постановлению очередной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сессии Ошского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134 </w:t>
      </w:r>
      <w:r>
        <w:rPr>
          <w:rFonts w:ascii="Arial" w:cs="Arial" w:eastAsia="Arial" w:hAnsi="Arial"/>
          <w:sz w:val="24"/>
          <w:szCs w:val="24"/>
        </w:rPr>
        <w:t xml:space="preserve">от 30.05.2023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сборов муниципального предприятия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“Авторынок Жапалак”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(включая налог на добавленную стоимость и налог с продаж)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сомах)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4"/>
        <w:gridCol w:w="4649"/>
        <w:gridCol w:w="1763"/>
        <w:gridCol w:w="1374"/>
        <w:gridCol w:w="1748"/>
      </w:tblGrid>
      <w:tr>
        <w:tc>
          <w:tcPr>
            <w:tcW w:type="dxa" w:w="6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сборов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Суббота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Воскресенье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въезд на территорию рынка автотранспортных средств (единовременный):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грузовой автотранспорт (грузоподъемностью свыше 10 тонн)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грузовой автотранспорт (грузоподъемностью свыше 5 тонн и до 10 тонн) 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грузовой автотранспорт (грузоподъемностью до 5 тонн) 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микроавтобусы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автомобили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автотранспортных средств, размещенных под навесом (за неделю)</w:t>
            </w:r>
          </w:p>
        </w:tc>
        <w:tc>
          <w:tcPr>
            <w:tcW w:type="dxa" w:w="48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 сомов, из них 300 сомов поступает владельцам навесов, 400 сомов муниципальному предприятию “Авторынок Жапалак”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автотранспортных средств (за один день)</w:t>
            </w:r>
          </w:p>
        </w:tc>
        <w:tc>
          <w:tcPr>
            <w:tcW w:type="dxa" w:w="48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хозяйствующим субъектам в аренду земельного участка (за один месяц, с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48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временного торгового места для торговли (на день осуществления торговли)</w:t>
            </w:r>
          </w:p>
        </w:tc>
        <w:tc>
          <w:tcPr>
            <w:tcW w:type="dxa" w:w="48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</w:t>
            </w:r>
          </w:p>
        </w:tc>
        <w:tc>
          <w:tcPr>
            <w:tcW w:type="dxa" w:w="48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И.Э.Абдыраимов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hyhbxhk2o3vjbz_id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dalil.kg/document/230033099</w:t>
      </w:r>
    </w:hyperlink>
  </w:p>
  <w:p>
    <w:pPr>
      <w:spacing w:after="0" w:before="40"/>
      <w:jc w:val="center"/>
    </w:pPr>
    <w:hyperlink w:history="1" r:id="rId0sunlqrkktqy47eqrn5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ppwma-a0_uxwueb2ejj" Type="http://schemas.openxmlformats.org/officeDocument/2006/relationships/hyperlink" Target="https://dalil.kg/document/112302#st_34" TargetMode="External"/><Relationship Id="rIdljwswoff9z8hc_hxsnd-p" Type="http://schemas.openxmlformats.org/officeDocument/2006/relationships/hyperlink" Target="https://dalil.kg/document/204694" TargetMode="External"/><Relationship Id="rIdky6aslqyp8vuo1adnyzgv" Type="http://schemas.openxmlformats.org/officeDocument/2006/relationships/hyperlink" Target="https://dalil.kg/document/2804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hyhbxhk2o3vjbz_idtz" Type="http://schemas.openxmlformats.org/officeDocument/2006/relationships/hyperlink" Target="https://dalil.kg/document/230033099" TargetMode="External"/><Relationship Id="rId0sunlqrkktqy47eqrn5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2026-09-29T15:40:36.264Z</dcterms:created>
  <dcterms:modified xsi:type="dcterms:W3CDTF">2026-09-29T15:40:36.264Z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