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2024 года №01-7/38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норм площадей земельных участков для строительства частных жилых домов в селах Асылбаш, Төш-Булак, Сокулук, 1 Мая и Ближнего, Дальнего Арала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Сары-Озонского айылного кенеша Сары-Озонского айылного аймака от </w:t>
      </w:r>
      <w:hyperlink w:history="1" r:id="rIdzwwsd63nkul9r3qh5qqb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2025 года № 01-7/43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председателя постоянной комиссии по земельно-аграрной политике, водным ресурсам и экологии Р.Апакаева на основании решения заседания комиссии от 10 июля 2024 года, руководствуясь Указом Президента Кыргызской Республики “О проведении административно-территориальной реформы в пилотном режиме на уровне айылных аймаков и городов Кыргызской Республики” от 29 декабря 2023 года №370, в соответствии с Положением “О порядке проведения земельной амнистии", утвержденным постановлением Кабинета Министров Кыргызской Республики от 31 мая 2022 года №291 очередная сессия Сары-Озонского айылного кенеша XXVIII созыва  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нормы земельной площади для индивидуального жилищного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строительства в с. Сокулук в размере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0,04 га до 0,15 га</w:t>
      </w:r>
      <w:r>
        <w:rPr>
          <w:rFonts w:ascii="Arial" w:cs="Arial" w:eastAsia="Arial" w:hAnsi="Arial"/>
          <w:sz w:val="24"/>
          <w:szCs w:val="24"/>
        </w:rPr>
        <w:t xml:space="preserve"> в связи густонаселенностью, а в селах Асылбаш,  Төш-Булак,  Ближнего,  Дальнего  Арала и 1 Мая норма земельного участка в размере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0,04 га до 0,30 га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Настоящие нормы применяются только к земельным участкам, предоставляемым после вступления в силу данного постановления. Земельные участки, предоставленные до этой даты на основании ранее принятых решений, считаются предоставленными на законных основаниях и под действие настоящих норм не подпадают.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Сары-Озонского айылного кенеша Сары-Озонского айылного аймака от </w:t>
      </w:r>
      <w:hyperlink w:history="1" r:id="rId48hxo6wueewletupmdy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2025 года № 01-7/43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   Сары-Озонского айыл  окмоту  согласно данного постановления вынести распоряжение айыл окмоту.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постановление,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главы айыл окмоту, председателя</w:t>
      </w:r>
      <w:r>
        <w:rPr>
          <w:rFonts w:ascii="Arial" w:cs="Arial" w:eastAsia="Arial" w:hAnsi="Arial"/>
          <w:sz w:val="24"/>
          <w:szCs w:val="24"/>
        </w:rPr>
        <w:t xml:space="preserve">земельной комиссии по предоставлению земельных участков под ИЖС и другим земельным вопросам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Акчалов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su4spbj0pzvxoeex6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dalil.kg/document/230033174</w:t>
      </w:r>
    </w:hyperlink>
  </w:p>
  <w:p>
    <w:pPr>
      <w:spacing w:after="0" w:before="40"/>
      <w:jc w:val="center"/>
    </w:pPr>
    <w:hyperlink w:history="1" r:id="rIdqauzkffyxmmyq4iqgc4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wsd63nkul9r3qh5qqb7" Type="http://schemas.openxmlformats.org/officeDocument/2006/relationships/hyperlink" Target="https://dalil.kg/document/230043943" TargetMode="External"/><Relationship Id="rId48hxo6wueewletupmdyel" Type="http://schemas.openxmlformats.org/officeDocument/2006/relationships/hyperlink" Target="https://dalil.kg/document/2300439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su4spbj0pzvxoeex6zm" Type="http://schemas.openxmlformats.org/officeDocument/2006/relationships/hyperlink" Target="https://dalil.kg/document/230033174" TargetMode="External"/><Relationship Id="rIdqauzkffyxmmyq4iqgc4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2026-09-27T10:54:52.160Z</dcterms:created>
  <dcterms:modified xsi:type="dcterms:W3CDTF">2026-09-27T10:54:52.160Z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