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2025 года УП № 289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статьи 70, частью 3 статьи 96 Конституции Кыргызской Республики, пунктом 3 части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статьи 29 конституционного Закона Кыргызской Республики «О статусе судей Кыргызской Республики», а также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Масыбаева Тилека </w:t>
      </w:r>
      <w:r>
        <w:rPr>
          <w:rFonts w:ascii="Arial" w:cs="Arial" w:eastAsia="Arial" w:hAnsi="Arial"/>
          <w:sz w:val="24"/>
          <w:szCs w:val="24"/>
        </w:rPr>
        <w:t xml:space="preserve">Төлөнбаевича </w:t>
      </w:r>
      <w:r>
        <w:rPr>
          <w:rFonts w:ascii="Arial" w:cs="Arial" w:eastAsia="Arial" w:hAnsi="Arial"/>
          <w:sz w:val="24"/>
          <w:szCs w:val="24"/>
        </w:rPr>
        <w:t xml:space="preserve">от должности судьи местного суда Кыргызской Республики, осуществляющего полномочия судьи Аламудунского районного суда Чуйской области, ввиду неспособности по состоянию здоровья осуществлять полномочия судьи, подтвержденной заключением медицинской комиссии.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hqty3a14jwtfhlkkd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dalil.kg/document/230033251</w:t>
      </w:r>
    </w:hyperlink>
  </w:p>
  <w:p>
    <w:pPr>
      <w:spacing w:after="0" w:before="40"/>
      <w:jc w:val="center"/>
    </w:pPr>
    <w:hyperlink w:history="1" r:id="rId0oc1l-ydkuo-bxgdqnx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hqty3a14jwtfhlkkdt2" Type="http://schemas.openxmlformats.org/officeDocument/2006/relationships/hyperlink" Target="https://dalil.kg/document/230033251" TargetMode="External"/><Relationship Id="rId0oc1l-ydkuo-bxgdqnx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2026-09-27T08:05:58.719Z</dcterms:created>
  <dcterms:modified xsi:type="dcterms:W3CDTF">2026-09-27T08:05:58.719Z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