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АЙЫЛНЫЙ КЕНЕШ НУРМАНБЕТ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июля 2025 года №41/VII-29</w:t>
      </w:r>
    </w:p>
    <w:p>
      <w:pPr>
        <w:spacing w:after="3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положения о комиссии по правонарушениям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jgaw7vcwdacohb5sljgh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y5_xkj-ego8htrwptmlz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местной государственной администрации и органах местного самоуправлении» и в целях организации работы по предупреждению и рассмотрению административных правонарушений на территориии айылного аймака Нурманбет, сессия айылного кенеша Нурманбет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1.Утвердить Положение о комиссии по правонарушениям Нурманбет айыл окмоту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приложению.</w:t>
      </w:r>
    </w:p>
    <w:p>
      <w:pPr>
        <w:spacing w:after="20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Ответственному секретарю айылного кенеша Нурманбет Туленовой Н.М.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зарегистрировать настоящее постановление в установленном порядке;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копию настоящего постановления направить в Министерство юстиции Кыргызской Республики для регистрации в качестве юридического лица. 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 Данное постановление опубликовать на сайте mkk.gov.kg Государственного агенства по делам государственной службы и местного самоуправления при Кабинете Министров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постоянную комиссию по аграрным вопросам строительству, транспорту, промышленности и жилищно-коммунальным вопросам.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председателя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К.Д. Дуйшенкулова</w:t>
      </w:r>
    </w:p>
    <w:p>
      <w:pPr>
        <w:spacing w:after="36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к постановлению</w:t>
      </w:r>
    </w:p>
    <w:p>
      <w:pPr>
        <w:spacing w:after="36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
 о комиссии Нурманбет айыл окмоту, рассматривающей дела о правонарушениях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 комиссии Нурманбет айыл окмоту, рассматривающей дела о правонарушениях (далее - Положение) определяет порядок создания и работы комиссий по рассмотрению дел о правонарушениях (далее - Комиссия) в соответствии с </w:t>
      </w:r>
      <w:hyperlink w:history="1" r:id="rIdxrmrwih8zsvfb-g4lku5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 (далее - Кодекс).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Задачами Комиссии являются: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своевременное, всестороннее, полное и объективное выяснение обстоятельств каждого поступившего на рассмотрение дела о правонарушении;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разрешение дел о правонарушениях в точном соответствии с законодательством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контроль за исполнением вынесенного решения, а также выявление причин и условий, способствовавших совершению правонарушений.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Комиссия является постоянно действующим коллегиальным органом.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 о Комиссии утверждается решением местного кенеша, ее количественный и персональный состав - решением исполнительного органа местного самоуправления.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Нурманбет айыл окмоту своим решением (распоряжением) определяют перечень должностных лиц, уполномоченных составлять протоколы и выносить постановления о правонарушениях, применять наказания в случаях, предусмотренных Кодексом.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Деятельность Комиссий основывается на принципах законности, равенства перед законом, презумпции невиновности, неотвратимости ответственности за нарушение, справедливости, индивидуализации взыскания и гуманизма.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своей деятельности Комиссия руководствуется </w:t>
      </w:r>
      <w:hyperlink w:history="1" r:id="rIduzzbzekyxb01bkf4bmxa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j7ia5dihq0rfdhavrbk2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правонарушениях, иными нормативными правовыми актами и настоящим Положением.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Порядок создания и прекращения деятельности Комиссии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Глава Нурманбет айыл окмоту своим решением (распоряжением) определяет перечень должностных лиц, наделенных полномочиями составлять протоколы о правонарушениях и выносить постановления, накладывать взыскания в случаях, предусмотренных </w:t>
      </w:r>
      <w:hyperlink w:history="1" r:id="rIdcxzchcfyksksgnqmayyn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и создает постоянно действующую Комиссию, наделенную полномочиями рассматривать дела о правонарушениях.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Члены Комиссии должны быть гражданами Кыргызской Республики, способными по своим деловым, личным и моральным качествам, состоянию здоровья выполнять возложенные на Комиссию обязанности.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Комиссия формируется в количестве 7 человек.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В состав Комиссий входят сотрудники Нурманбет айыл окмоту, депутаты айылного кенеша Нурманбет.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Комиссию возглавляет заместитель главы/ответственный секретарь Нурманбет айыл окмоту.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Исполнение обязанностей секретаря Комиссии возлагается на одного из должностных лиц Нурманбет айыл окмоту по решению (распоряжению) главы Нурманбет айыл окмоту. Секретарь Комиссии не может быть членом Комиссии.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Членом Комиссии не может быть лицо: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привлеченное к уголовной ответственности, в отношении которого прекращено уголовное преследование (уголовное дело) по нереабилитирующим основаниям;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состояние здоровья которого в соответствии с медицинским заключением препятствует исполнению полномочий члена Комиссии.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Полномочия Комиссии начинаются со дня утверждения главы Нурманбет айыл окмоту состава Комиссии.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Полномочия члена Комиссии прекращаются исполнительным органом местного самоуправления в случаях: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подачи членом Комиссии - служащим письменного заявления о прекращении своих полномочий;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вступления в законную силу обвинительного приговора суда в отношении члена Комиссии;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признания лица, являющегося членом Комиссии, по решению суда, вступившим в законную силу, недееспособным, ограниченно дееспособным, безвестно отсутствующим или умершим;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наличия медицинского заключения о состоянии здоровья, препятствующего исполнению членом Комиссии своих полномочий;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совершения лицом, являющимся членом Комиссии, деяния, нарушающего этику муниципального служащего;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смерти члена Комиссии;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выезда члена Комиссии на постоянное место жительство за пределы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выхода члена Комиссии из гражданства Кыргызской Республики, утраты им гражданства Кыргызской Республики или принятия им гражданства иностранного государства;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ликвидации органа местного самоуправления;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увольнения, ротации (перевода или перемещения) служащего, являющегося членом Комиссии.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Новый член Комиссии утверждается не позднее 10 рабочих дней со дня принятия решения о прекращении полномочий члена Комиссии.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Полномочия Комиссии могут быть прекращены главой Нурманбет айыл окмоту в случае неисполнения или ненадлежащего исполнения Комиссией своих полномочий.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Новый состав Комиссии формируется не позднее 10 рабочих дней со дня прекращения полномочий прежнего состава Комиссии.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Член Комиссии, в чьем производстве находится дело о правонарушении, не может рассматривать его в случаях если он: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является родственником лица, привлекаемого к ответственности за правонарушение, или пострадавшего, их законных представителей, защитника или представителя;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лично, прямо или косвенно заинтересован в разрешении дела.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Вышеуказанные случаи являются основанием для отвода председателя и члена Комиссии.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Порядок работы Комиссии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Полномочия Комиссии определяются в соответствии с </w:t>
      </w:r>
      <w:hyperlink w:history="1" r:id="rIdkfq_ywh8g-upyfk8gih6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При реализации задач Комиссия вправе: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истребовать у сторон необходимые по рассматриваемым делам документы;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отложить принятие решения до предоставления необходимых документов либо для дополнительного их изучения;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рассматривать вопросы в присутствии заявителя;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специалистов для всестороннего рассмотрения дел;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необходимые документы в соответствующих организациях и государственных органах для подтверждения предоставленных сведений.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Комиссия рассматривает дела о правонарушениях и приложенные к ним материалы на заседаниях. Заседания Комиссии проводятся по мере необходимости (в зависимости от поступления материалов). Периодичность заседаний Комиссии должна обеспечить соблюдение установленных законом сроков рассмотрения дел о правонарушениях.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Принятие решений по делам о правонарушениях осуществляется простым большинством голосов членов Комиссии, присутствовавших на заседании. Заседание Комиссии считается состоявшимся если в нем участвовало более двух третей от общего числа членов Комиссии. При этом на заседаниях может вестись аудио- и/или видеозапись по решению председателя Комиссии.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При голосовании каждый член Комиссии имеет один голос. Голосование осуществляется открыто. Принятие решения Комиссии путем заочного голосования не допускается.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Секретарь Комиссии при принятии решений не имеет права голоса.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В случае равного количества голосов при голосовании о принятии решения председатель Комиссии или исполняющий обязанности председателя имеет решающий голос.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Комиссия рассматривает дела о правонарушениях с соблюдением сроков, определенных </w:t>
      </w:r>
      <w:hyperlink w:history="1" r:id="rIdk8mjrdzlmrh4yguwj-mt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535</w:t>
        </w:r>
      </w:hyperlink>
      <w:r>
        <w:rPr>
          <w:rFonts w:ascii="Arial" w:cs="Arial" w:eastAsia="Arial" w:hAnsi="Arial"/>
          <w:sz w:val="24"/>
          <w:szCs w:val="24"/>
        </w:rPr>
        <w:t xml:space="preserve"> Кодекса.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Дела о правонарушениях рассматриваются в срок десять рабочих дней со дня получения Комиссией материалов дел.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Физическое лицо, привлекаемое к ответственности за совершение правонарушения, принимает участие в рассмотрении дела о правонарушении лично, а юридическое лицо - через представителя, за исключением случаев, предусмотренных Кодексом.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Дело о правонарушении может быть рассмотрено в отсутствии лица, привлекаемого к ответственности за правонарушение, или его законного представителя, защитника, если тот более двух раз не явился к месту рассмотрения дела при условии надлежащего уведомления о месте и времени рассмотрения дела.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Комиссия может продлить срок рассмотрения дела не более чем на десять рабочих дней в случае поступления ходатайств от участников производства по делу о правонарушении или при необходимости дополнительного выяснения обстоятельств по делу.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В случае обнаружения Комиссией в рассматриваемом деле признаков иного правонарушения, дело о правонарушении рассматривается в соответствии со </w:t>
      </w:r>
      <w:hyperlink w:history="1" r:id="rIdivbhzrvh1wexm09w0hsb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506</w:t>
        </w:r>
      </w:hyperlink>
      <w:r>
        <w:rPr>
          <w:rFonts w:ascii="Arial" w:cs="Arial" w:eastAsia="Arial" w:hAnsi="Arial"/>
          <w:sz w:val="24"/>
          <w:szCs w:val="24"/>
        </w:rPr>
        <w:t xml:space="preserve"> Кодекса.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При обнаружении Комиссией в рассматриваемом деле признаков преступления, дело о правонарушении передается для дальнейшего рассмотрения прокурору либо органу следствия по подведомственности в соответствии со </w:t>
      </w:r>
      <w:hyperlink w:history="1" r:id="rIdj7jdv1dlamvsnnzt0cxs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516</w:t>
        </w:r>
      </w:hyperlink>
      <w:r>
        <w:rPr>
          <w:rFonts w:ascii="Arial" w:cs="Arial" w:eastAsia="Arial" w:hAnsi="Arial"/>
          <w:sz w:val="24"/>
          <w:szCs w:val="24"/>
        </w:rPr>
        <w:t xml:space="preserve"> Кодекса.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Во время рассмотрения дел о правонарушениях секретарем Комиссии ведется протокол заседания Комиссии в соответствии со </w:t>
      </w:r>
      <w:hyperlink w:history="1" r:id="rIdc-02hgzxskebocybuj3j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538</w:t>
        </w:r>
      </w:hyperlink>
      <w:r>
        <w:rPr>
          <w:rFonts w:ascii="Arial" w:cs="Arial" w:eastAsia="Arial" w:hAnsi="Arial"/>
          <w:sz w:val="24"/>
          <w:szCs w:val="24"/>
        </w:rPr>
        <w:t xml:space="preserve"> Кодекса.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В протоколе заседания Комиссии указываются: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дата и место заседания Комиссии;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состав Комиссии;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какое дело рассматривается;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сведения о явке лиц, участвующих в рассмотрении дела;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отводы, ходатайства и результаты их рассмотрения;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объяснения, показания, пояснения и заключения соответствующих лиц, участвующих в рассмотрении дела;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документы, исследованные при рассмотрении дела.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Протокол подписывается Председателем Комиссии и секретарем заседания Комиссии.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Принимаемые Комиссией документы оформляются в соответствии с Положением о Едином реестре правонарушений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При подготовке к рассмотрению дела о правонарушении Комиссия принимает следующие решения: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 назначении времени и места рассмотрения дела;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 вызове лиц, истребовании необходимых дополнительных материалов по делу, назначении экспертизы;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 отложении рассмотрения дела;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 возвращении протокола о правонарушении и других материалов дела в случаях составления протокола и оформления других материалов дела неправомочными лицами, неправильного составления протокола/вынесения постановления и оформления других материалов дела либо неполноты представленных материалов, которые не могут быть восполнены при рассмотрении дела;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 передаче в течение трех рабочих дней протокола/постановления о правонарушении и других материалов дела на рассмотрение по подведомственности, если рассмотрение данного дела не относится к его компетенции;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об отводе представителя в случаях, предусмотренных </w:t>
      </w:r>
      <w:hyperlink w:history="1" r:id="rIdm9gdudqpnwv2zpic3fcc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532</w:t>
        </w:r>
      </w:hyperlink>
      <w:r>
        <w:rPr>
          <w:rFonts w:ascii="Arial" w:cs="Arial" w:eastAsia="Arial" w:hAnsi="Arial"/>
          <w:sz w:val="24"/>
          <w:szCs w:val="24"/>
        </w:rPr>
        <w:t xml:space="preserve"> Кодекса;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о приостановлении производства по делу о правонарушении при наличии обстоятельств, предусмотренных </w:t>
      </w:r>
      <w:hyperlink w:history="1" r:id="rId5_vlwi0wdwya0t1bpc9n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508</w:t>
        </w:r>
      </w:hyperlink>
      <w:r>
        <w:rPr>
          <w:rFonts w:ascii="Arial" w:cs="Arial" w:eastAsia="Arial" w:hAnsi="Arial"/>
          <w:sz w:val="24"/>
          <w:szCs w:val="24"/>
        </w:rPr>
        <w:t xml:space="preserve"> Кодекса;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о прекращении производства при наличии обстоятельств, предусмотренных </w:t>
      </w:r>
      <w:hyperlink w:history="1" r:id="rIdaglryhq7b6gfxbxevgm9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510</w:t>
        </w:r>
      </w:hyperlink>
      <w:r>
        <w:rPr>
          <w:rFonts w:ascii="Arial" w:cs="Arial" w:eastAsia="Arial" w:hAnsi="Arial"/>
          <w:sz w:val="24"/>
          <w:szCs w:val="24"/>
        </w:rPr>
        <w:t xml:space="preserve"> Кодекса.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Решения, предусмотренные подпунктами 1-6 пункта 35 настоящего Положения, выносятся в виде определения.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Решения, предусмотренные подпунктами 7, 8 пункта 35 настоящего Положения, выносятся в виде постановления.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Комиссия, рассмотрев дело о правонарушении, выносит одно из следующих решений: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постановление о наложении взыскания;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постановление о прекращении производства по делу;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постановление о начислении пени.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Решения заносятся в автоматизированную информационную систему (АИС) Единого реестра правонарушений.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40. Постановление объявляется незамедлительно после окончания рассмотрения дела. Копия постановления в течение трех дней вручается или отправляется лицу, в отношении которого оно вынесено, а также пострадавшему по почте или другими средствами связи по указанному лицом адресу. Копия постановления вручается под расписку. В случае если копия постановления высылается, об этом делается соответствующая запись в деле.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41. Комиссия в случае вынесения постановления о начислении пени направляет его судебному исполнителю уполномоченного государственного органа в соответствии с требованиями </w:t>
      </w:r>
      <w:hyperlink w:history="1" r:id="rIdmwmg3yuv7o2rv6f0h07l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568</w:t>
        </w:r>
      </w:hyperlink>
      <w:r>
        <w:rPr>
          <w:rFonts w:ascii="Arial" w:cs="Arial" w:eastAsia="Arial" w:hAnsi="Arial"/>
          <w:sz w:val="24"/>
          <w:szCs w:val="24"/>
        </w:rPr>
        <w:t xml:space="preserve"> Кодекса.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42. Постановление Комиссии по делу о правонарушении может быть обжаловано в районном (городском) суде.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Права и обязанности членов Комиссии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43. Деятельность Комиссии организует председатель Комиссии.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44. Члены Комиссии обладают равными правами при рассмотрении дел о правонарушениях.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45. Члены Комиссии обязаны: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ознакомиться с материалами дела о правонарушениях, рассматриваемых Комиссией;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участвовать в исследовании и оценке доказательств по делам о правонарушениях;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участвовать в обсуждении и голосовании при вынесении решений Комиссии;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соблюдать положения Кодекса этики государственных гражданских служащих и муниципальных служащих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подписывать протокол рассмотрения дела о правонарушении.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46. Члены Комиссии имеют право: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задавать вопросы лицам, участвующим в рассмотрении дел о правонарушениях;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предложения по решениям, принимаемым и выносимым по делу о правонарушениях;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полномочия в соответствии с настоящим Положением и Кодексом.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отсутствия члена Комиссии по уважительной причине его обязанности выполняют лица, заменяющие его согласно основным функциональным обязанностям.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47. Председатель Комиссии, кроме выполнения обязанностей члена Комиссии, обязан: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планировать, организовывать и осуществлять руководство деятельностью Комиссии;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председательствовать на заседаниях Комиссии;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утверждать повестку дня заседания Комиссии;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подписывать решения (определения и постановления), вынесенные Комиссией, протоколы заседаний Комиссии, а также другие документы, касающиеся деятельности Комиссии;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контроль за деятельностью Комиссии.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48. Председатель Комиссии имеет право: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пределах своей компетенции действовать от имени Комиссии (без доверенности) и представлять ее интересы при взаимодействии с органами государственной власти, органами местного самоуправления, должностными лицами и гражданами;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контроль за исполнением постановлений, определений, вынесенных Комиссией;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давать поручения по вопросам, отнесенным к полномочиям Комиссии;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полномочия в соответствии с настоящим Положением и Кодексом.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отсутствия председателя Комиссии по уважительной причине его обязанности выполняет лицо, замещающее его согласно основным функциональным обязанностям.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49. Секретарь Комиссии: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подготовку дел о правонарушениях к рассмотрению на заседании Комиссии;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свою деятельность под руководством председателя Комиссии;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выполняет поручения председателя Комиссии;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подготовку и оформление протоколов о правонарушениях, постановлений и определений, выносимых и принимаемых Комиссией, в соответствии с требованиями Кодекса и настоящего Положения;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оповещает в установленном порядке членов Комиссии и лиц, участвующих в производстве по делам о правонарушениях, о времени и месте рассмотрения дел, знакомит их с материалами дел, внесенных на рассмотрение Комиссии;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ведет и подписывает протоколы рассмотрения дел о правонарушениях Комиссией;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вручение либо отправку копий постановлений, определений, вынесенных Комиссией, в установленные сроки соответствующим лицам;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соответствии со </w:t>
      </w:r>
      <w:hyperlink w:history="1" r:id="rIduhrekm7irrrplyxxgd9r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55</w:t>
        </w:r>
      </w:hyperlink>
      <w:r>
        <w:rPr>
          <w:rFonts w:ascii="Arial" w:cs="Arial" w:eastAsia="Arial" w:hAnsi="Arial"/>
          <w:sz w:val="24"/>
          <w:szCs w:val="24"/>
        </w:rPr>
        <w:t xml:space="preserve"> Кодекса вносит соответствующие сведения о результатах рассмотрения Комиссией дел о правонарушениях в Единый реестр правонарушений;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ведение делопроизводства и сохранность дел Комиссии;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ведет статистическую отчетность и информационно-справочную работу, связанную с деятельностью Комиссии;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исполняет иные обязанности в соответствии с настоящим Положением и Кодексом.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отсутствия секретаря Комиссии по уважительной причине его обязанности выполняет лицо, замещающее его согласно основным функциональным обязанностям.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50. Председатель, члены и секретарь Комиссии не вправе участвовать в рассмотрении дел о правонарушениях в случаях если они: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являются родственниками лица, привлекаемого к ответственности за правонарушение, потерпевшего, его законных представителей, защитника, представителя, адвоката, а также свидетеля, эксперта, специалиста, переводчика;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лично, прямо или косвенно заинтересованы в разрешении дела о правонарушении.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 Ведение делопроизводства Комиссии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51. Общее руководство делопроизводством осуществляется председателем Комиссии, который несет ответственность за его состояние.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52. Ответственность за сохранность журналов учета, своевременность внесения записей и достоверность содержащихся в них сведений несет секретарь Комиссии.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53. Отправка необходимых документов участникам производства по делу о правонарушениях производится секретарем Комиссии.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54. Уведомления по делам о правонарушениях должны быть направлены не позднее следующего дня после назначения даты рассмотрения дела. В случаях, когда направленное уведомление окажется неврученным адресату секретарь Комиссии обязан немедленно выяснить причины его невручения, доложить об этом председателю Комиссии и по указанию последнего принять меры в соответствии с требованиями Кодекса, обеспечивающие вручение уведомления.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55. Секретарем Комиссии обеспечивается формирование дел о правонарушениях, в которые в хронологическом порядке приобщаются: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протокол о правонарушении и другие материалы по делу;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приобщенные к делу в процессе заседания документы в порядке их поступления;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протокол рассмотрения дела о правонарушении, подписанный председателем Комиссии и секретарем заседания Комиссии;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определения, постановления, вынесенные на заседании Комиссии по результатам рассмотрения дела. Документы подшиваются в дело так, чтобы их текст был полностью виден.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56. Дела о правонарушениях, рассматриваемые Комиссией, подлежат учету. Номер дела о правонарушении включает в себя порядковый номер дела по журналу учета и год поступления.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57. Уполномоченные должностные лица, составляющие протоколы о правонарушениях, проводят с Комиссией сверку данных о рассмотренных делах о правонарушениях не реже одного раза в квартал.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58. Комиссия ведет следующие журналы учета: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журнал учета дел о правонарушениях (</w:t>
      </w:r>
      <w:hyperlink w:history="1" r:id="rIdd8dd2mg-ynal_m7iubl9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</w:t>
        </w:r>
      </w:hyperlink>
      <w:r>
        <w:rPr>
          <w:rFonts w:ascii="Arial" w:cs="Arial" w:eastAsia="Arial" w:hAnsi="Arial"/>
          <w:sz w:val="24"/>
          <w:szCs w:val="24"/>
        </w:rPr>
        <w:t xml:space="preserve">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журнал учета уведомлений, направленных лицам, привлекаемым к ответственности за совершение правонарушения (</w:t>
      </w:r>
      <w:hyperlink w:history="1" r:id="rIdy8ke9ibtwuoecahtjfi_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2</w:t>
        </w:r>
      </w:hyperlink>
      <w:r>
        <w:rPr>
          <w:rFonts w:ascii="Arial" w:cs="Arial" w:eastAsia="Arial" w:hAnsi="Arial"/>
          <w:sz w:val="24"/>
          <w:szCs w:val="24"/>
        </w:rPr>
        <w:t xml:space="preserve">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59. Журналы должны быть пронумерованы, прошнурованы, скреплены печатью, записи в журнале учета делаются разборчиво, чернилами (пастой) синего или фиолетового цвета.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60. Срок хранения журналов - 3 года. Срок хранения дел о правонарушениях - 5 лет. По истечении указанного срока они сдаются по описи в архив.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61. Журналы учета являются документами внутреннего пользования и не могут передаваться или выдаваться организациям, физическим или должностным лицам без разрешения председателя Комиссии, за исключением случаев, предусмотренных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6. Заключительные положения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62. Материально-техническое обеспечение деятельности Комиссии осуществляется за счет средств Нурманбет айыл окмоту.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
 к Положению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ЖУРНАЛ
 учета материалов о правонарушении</w:t>
            </w:r>
          </w:p>
        </w:tc>
      </w:tr>
      <w:tr>
        <w:tc>
          <w:tcPr>
            <w:tcW w:type="dxa" w:w="101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___________________________________________________________________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(наименование уполномоченного органа)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НАЧАТ "___" _____________ 20__ г.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ОКОНЧЕН "___" _____________ 20__ г.</w:t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22"/>
        <w:gridCol w:w="1662"/>
        <w:gridCol w:w="1246"/>
        <w:gridCol w:w="676"/>
        <w:gridCol w:w="764"/>
        <w:gridCol w:w="1740"/>
        <w:gridCol w:w="1177"/>
        <w:gridCol w:w="2160"/>
        <w:gridCol w:w="531"/>
      </w:tblGrid>
      <w:tr>
        <w:tc>
          <w:tcPr>
            <w:tcW w:type="dxa" w:w="22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66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Правонарушитель (ФИО физического лица/наименование юридического лица)</w:t>
            </w:r>
          </w:p>
        </w:tc>
        <w:tc>
          <w:tcPr>
            <w:tcW w:type="dxa" w:w="124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 и краткое содержание правонарушения</w:t>
            </w:r>
          </w:p>
        </w:tc>
        <w:tc>
          <w:tcPr>
            <w:tcW w:type="dxa" w:w="67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Адрес правонарушителя</w:t>
            </w:r>
          </w:p>
        </w:tc>
        <w:tc>
          <w:tcPr>
            <w:tcW w:type="dxa" w:w="76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Серия и № протокола</w:t>
            </w:r>
          </w:p>
        </w:tc>
        <w:tc>
          <w:tcPr>
            <w:tcW w:type="dxa" w:w="174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 и инициалы лица, получившего протокол и прилагаемые документы для исполнения. Дата и подпись</w:t>
            </w:r>
          </w:p>
        </w:tc>
        <w:tc>
          <w:tcPr>
            <w:tcW w:type="dxa" w:w="117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 рассмотрения и принятое по делу решение</w:t>
            </w:r>
          </w:p>
        </w:tc>
        <w:tc>
          <w:tcPr>
            <w:tcW w:type="dxa" w:w="216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дела, где хранятся материалы после рассмотрения дела о правонарушении, прилагаемые документы (дата, наименование органа)</w:t>
            </w:r>
          </w:p>
        </w:tc>
        <w:tc>
          <w:tcPr>
            <w:tcW w:type="dxa" w:w="53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Примечание</w:t>
            </w:r>
          </w:p>
        </w:tc>
      </w:tr>
      <w:tr>
        <w:tc>
          <w:tcPr>
            <w:tcW w:type="dxa" w:w="2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</w:t>
            </w:r>
          </w:p>
        </w:tc>
        <w:tc>
          <w:tcPr>
            <w:tcW w:type="dxa" w:w="1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</w:t>
            </w:r>
          </w:p>
        </w:tc>
        <w:tc>
          <w:tcPr>
            <w:tcW w:type="dxa" w:w="1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</w:t>
            </w:r>
          </w:p>
        </w:tc>
        <w:tc>
          <w:tcPr>
            <w:tcW w:type="dxa" w:w="7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</w:t>
            </w:r>
          </w:p>
        </w:tc>
        <w:tc>
          <w:tcPr>
            <w:tcW w:type="dxa" w:w="1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</w:t>
            </w:r>
          </w:p>
        </w:tc>
        <w:tc>
          <w:tcPr>
            <w:tcW w:type="dxa" w:w="2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</w:t>
            </w:r>
          </w:p>
        </w:tc>
        <w:tc>
          <w:tcPr>
            <w:tcW w:type="dxa" w:w="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</w:t>
            </w:r>
          </w:p>
        </w:tc>
      </w:tr>
      <w:tr>
        <w:tc>
          <w:tcPr>
            <w:tcW w:type="dxa" w:w="2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
 к Положению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ЖУРНАЛ
 учета уведомлений</w:t>
            </w:r>
          </w:p>
        </w:tc>
      </w:tr>
      <w:tr>
        <w:tc>
          <w:tcPr>
            <w:tcW w:type="dxa" w:w="101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___________________________________________________________________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(наименование уполномоченного органа)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НАЧАТ "___" _____________ 20__ г.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ОКОНЧЕН "___" _____________ 20__ г.</w:t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96"/>
        <w:gridCol w:w="3023"/>
        <w:gridCol w:w="1714"/>
        <w:gridCol w:w="1714"/>
        <w:gridCol w:w="1915"/>
        <w:gridCol w:w="1516"/>
      </w:tblGrid>
      <w:tr>
        <w:tc>
          <w:tcPr>
            <w:tcW w:type="dxa" w:w="29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02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Правонарушитель (ФИО физического лица/наименование юридического лица)</w:t>
            </w:r>
          </w:p>
        </w:tc>
        <w:tc>
          <w:tcPr>
            <w:tcW w:type="dxa" w:w="171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Исходящий номер уведомления</w:t>
            </w:r>
          </w:p>
        </w:tc>
        <w:tc>
          <w:tcPr>
            <w:tcW w:type="dxa" w:w="171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Адрес правонарушителя</w:t>
            </w:r>
          </w:p>
        </w:tc>
        <w:tc>
          <w:tcPr>
            <w:tcW w:type="dxa" w:w="191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Лицо (ФИО), получившее уведомление</w:t>
            </w:r>
          </w:p>
        </w:tc>
        <w:tc>
          <w:tcPr>
            <w:tcW w:type="dxa" w:w="151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Примечание</w:t>
            </w:r>
          </w:p>
        </w:tc>
      </w:tr>
      <w:tr>
        <w:tc>
          <w:tcPr>
            <w:tcW w:type="dxa" w:w="2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</w:t>
            </w:r>
          </w:p>
        </w:tc>
        <w:tc>
          <w:tcPr>
            <w:tcW w:type="dxa" w:w="30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</w:t>
            </w:r>
          </w:p>
        </w:tc>
        <w:tc>
          <w:tcPr>
            <w:tcW w:type="dxa" w:w="19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</w:t>
            </w:r>
          </w:p>
        </w:tc>
        <w:tc>
          <w:tcPr>
            <w:tcW w:type="dxa" w:w="15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2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_itm191ngr4inplqsws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dalil.kg/document/230033315</w:t>
      </w:r>
    </w:hyperlink>
  </w:p>
  <w:p>
    <w:pPr>
      <w:spacing w:after="0" w:before="40"/>
      <w:jc w:val="center"/>
    </w:pPr>
    <w:hyperlink w:history="1" r:id="rIdqm5xdzuxnoadvmwfzfl_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gaw7vcwdacohb5sljghd" Type="http://schemas.openxmlformats.org/officeDocument/2006/relationships/hyperlink" Target="https://dalil.kg/document/112302#st_18" TargetMode="External"/><Relationship Id="rIdy5_xkj-ego8htrwptmlzp" Type="http://schemas.openxmlformats.org/officeDocument/2006/relationships/hyperlink" Target="https://dalil.kg/document/112302#st_39" TargetMode="External"/><Relationship Id="rIdxrmrwih8zsvfb-g4lku5d" Type="http://schemas.openxmlformats.org/officeDocument/2006/relationships/hyperlink" Target="https://dalil.kg/document/112306" TargetMode="External"/><Relationship Id="rIduzzbzekyxb01bkf4bmxav" Type="http://schemas.openxmlformats.org/officeDocument/2006/relationships/hyperlink" Target="https://dalil.kg/document/112213" TargetMode="External"/><Relationship Id="rIdj7ia5dihq0rfdhavrbk25" Type="http://schemas.openxmlformats.org/officeDocument/2006/relationships/hyperlink" Target="https://dalil.kg/document/112306" TargetMode="External"/><Relationship Id="rIdcxzchcfyksksgnqmayynp" Type="http://schemas.openxmlformats.org/officeDocument/2006/relationships/hyperlink" Target="https://dalil.kg/document/112306" TargetMode="External"/><Relationship Id="rIdkfq_ywh8g-upyfk8gih6u" Type="http://schemas.openxmlformats.org/officeDocument/2006/relationships/hyperlink" Target="https://dalil.kg/document/112306" TargetMode="External"/><Relationship Id="rIdk8mjrdzlmrh4yguwj-mtb" Type="http://schemas.openxmlformats.org/officeDocument/2006/relationships/hyperlink" Target="https://dalil.kg/document/112306#st_535" TargetMode="External"/><Relationship Id="rIdivbhzrvh1wexm09w0hsb0" Type="http://schemas.openxmlformats.org/officeDocument/2006/relationships/hyperlink" Target="https://dalil.kg/document/112306#st_506" TargetMode="External"/><Relationship Id="rIdj7jdv1dlamvsnnzt0cxsa" Type="http://schemas.openxmlformats.org/officeDocument/2006/relationships/hyperlink" Target="https://dalil.kg/document/112306#st_516" TargetMode="External"/><Relationship Id="rIdc-02hgzxskebocybuj3jk" Type="http://schemas.openxmlformats.org/officeDocument/2006/relationships/hyperlink" Target="https://dalil.kg/document/112306#st_538" TargetMode="External"/><Relationship Id="rIdm9gdudqpnwv2zpic3fccx" Type="http://schemas.openxmlformats.org/officeDocument/2006/relationships/hyperlink" Target="https://dalil.kg/document/112306#st_532" TargetMode="External"/><Relationship Id="rId5_vlwi0wdwya0t1bpc9nb" Type="http://schemas.openxmlformats.org/officeDocument/2006/relationships/hyperlink" Target="https://dalil.kg/document/112306#st_508" TargetMode="External"/><Relationship Id="rIdaglryhq7b6gfxbxevgm9o" Type="http://schemas.openxmlformats.org/officeDocument/2006/relationships/hyperlink" Target="https://dalil.kg/document/112306#st_510" TargetMode="External"/><Relationship Id="rIdmwmg3yuv7o2rv6f0h07ly" Type="http://schemas.openxmlformats.org/officeDocument/2006/relationships/hyperlink" Target="https://dalil.kg/document/112306#st_568" TargetMode="External"/><Relationship Id="rIduhrekm7irrrplyxxgd9rz" Type="http://schemas.openxmlformats.org/officeDocument/2006/relationships/hyperlink" Target="https://dalil.kg/document/112306#st_55" TargetMode="External"/><Relationship Id="rIdd8dd2mg-ynal_m7iubl98" Type="http://schemas.openxmlformats.org/officeDocument/2006/relationships/hyperlink" Target="https://dalil.kg/document/159900#pr1" TargetMode="External"/><Relationship Id="rIdy8ke9ibtwuoecahtjfi_k" Type="http://schemas.openxmlformats.org/officeDocument/2006/relationships/hyperlink" Target="https://dalil.kg/document/159900#pr2" TargetMode="External"/><Relationship Id="rId8" Type="http://schemas.openxmlformats.org/officeDocument/2006/relationships/image" Target="media/8de64316e95979c063c17bcd5380dc052a2594e9.png"/><Relationship Id="rId2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_itm191ngr4inplqswsl" Type="http://schemas.openxmlformats.org/officeDocument/2006/relationships/hyperlink" Target="https://dalil.kg/document/230033315" TargetMode="External"/><Relationship Id="rIdqm5xdzuxnoadvmwfzfl_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2026-09-27T10:21:34.371Z</dcterms:created>
  <dcterms:modified xsi:type="dcterms:W3CDTF">2026-09-27T10:21:34.371Z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