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bhua6lzqndbm0-ih6iaba">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определения стоимости работ (услуг), выполняемых государственными органами или государственными учреждениями, действующими на принципах самофинансирования и хозяйственного расчета</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определения стоимости работ (услуг), выполняемых государственными органами или учреждениями на принципах самофинансирования и хозяйственного расчета (далее - Порядок), устанавливает правила формирования, согласования и утверждения стоимости работ (услуг), выполняемых государственными органами или государственными учреждениями, действующими на принципах самофинансирования и хозяйственного расчета, а также государственными органами или государственными учреждениями, частично финансируемыми за счет государственного бюджета и частично за счет собственных доходов, включенными в:</w:t>
      </w:r>
    </w:p>
    <w:p>
      <w:pPr>
        <w:spacing w:after="60"/>
        <w:ind w:firstLine="567"/>
        <w:jc w:val="both"/>
      </w:pPr>
      <w:r>
        <w:rPr>
          <w:rFonts w:ascii="Arial" w:cs="Arial" w:eastAsia="Arial" w:hAnsi="Arial"/>
          <w:sz w:val="24"/>
          <w:szCs w:val="24"/>
        </w:rPr>
        <w:t xml:space="preserve">1) единый реестр государственных услуг;</w:t>
      </w:r>
    </w:p>
    <w:p>
      <w:pPr>
        <w:spacing w:after="60"/>
        <w:ind w:firstLine="567"/>
        <w:jc w:val="both"/>
      </w:pPr>
      <w:r>
        <w:rPr>
          <w:rFonts w:ascii="Arial" w:cs="Arial" w:eastAsia="Arial" w:hAnsi="Arial"/>
          <w:sz w:val="24"/>
          <w:szCs w:val="24"/>
        </w:rPr>
        <w:t xml:space="preserve">2) реестр разрешительных документов, выдаваемых органами исполнительной власти и их структурными подразделениями;</w:t>
      </w:r>
    </w:p>
    <w:p>
      <w:pPr>
        <w:spacing w:after="60"/>
        <w:ind w:firstLine="567"/>
        <w:jc w:val="both"/>
      </w:pPr>
      <w:r>
        <w:rPr>
          <w:rFonts w:ascii="Arial" w:cs="Arial" w:eastAsia="Arial" w:hAnsi="Arial"/>
          <w:sz w:val="24"/>
          <w:szCs w:val="24"/>
        </w:rPr>
        <w:t xml:space="preserve">3) реестр выполняемых работ уполномоченным государственным органом в сфере архитектурно-строительной деятельности и жилищно-коммунального хозяйства;</w:t>
      </w:r>
    </w:p>
    <w:p>
      <w:pPr>
        <w:spacing w:after="60"/>
        <w:ind w:firstLine="567"/>
        <w:jc w:val="both"/>
      </w:pPr>
      <w:r>
        <w:rPr>
          <w:rFonts w:ascii="Arial" w:cs="Arial" w:eastAsia="Arial" w:hAnsi="Arial"/>
          <w:sz w:val="24"/>
          <w:szCs w:val="24"/>
        </w:rPr>
        <w:t xml:space="preserve">4) перечни работ (услуг), выполняемых уполномоченными государственными органами или государственными учреждениями, утвержденные решением Кабинета Министров Кыргызской Республики.</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государственные органы или государственные учреждения, действующие на принципах самофинансирования и хозяйственного расчета</w:t>
      </w:r>
      <w:r>
        <w:rPr>
          <w:rFonts w:ascii="Arial" w:cs="Arial" w:eastAsia="Arial" w:hAnsi="Arial"/>
          <w:sz w:val="24"/>
          <w:szCs w:val="24"/>
        </w:rPr>
        <w:t xml:space="preserve"> - государственные органы или государственные учреждения, которые полностью обеспечивают свою деятельность за счет собственных доходов, направляемых на ее финансирование, без привлечения средств из республиканского бюджета;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государственные органы или государственные учреждения, частично финансируемые за счет государственного бюджета и частично за счет собственных доходов</w:t>
      </w:r>
      <w:r>
        <w:rPr>
          <w:rFonts w:ascii="Arial" w:cs="Arial" w:eastAsia="Arial" w:hAnsi="Arial"/>
          <w:sz w:val="24"/>
          <w:szCs w:val="24"/>
        </w:rPr>
        <w:t xml:space="preserve"> - государственные органы или государственные учреждения, которые получают финансовые средства из государственного бюджета для выполнения своих функций и одновременно вправе извлекать доходы, используемые для финансирования своей деятельности;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норма рентабельности</w:t>
      </w:r>
      <w:r>
        <w:rPr>
          <w:rFonts w:ascii="Arial" w:cs="Arial" w:eastAsia="Arial" w:hAnsi="Arial"/>
          <w:sz w:val="24"/>
          <w:szCs w:val="24"/>
        </w:rPr>
        <w:t xml:space="preserve"> - показатель эффективности, выраженный в процентном соотношении к полной себестоимости работ (услуг);</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плановые накопления</w:t>
      </w:r>
      <w:r>
        <w:rPr>
          <w:rFonts w:ascii="Arial" w:cs="Arial" w:eastAsia="Arial" w:hAnsi="Arial"/>
          <w:sz w:val="24"/>
          <w:szCs w:val="24"/>
        </w:rPr>
        <w:t xml:space="preserve"> - часть стоимости, предназначенная для развития государственного органа или государственного учреждения, а также для покрытия расходов, не относящихся к прямым затратам.</w:t>
      </w:r>
    </w:p>
    <w:p>
      <w:pPr>
        <w:spacing w:after="60"/>
        <w:ind w:firstLine="567"/>
        <w:jc w:val="both"/>
      </w:pPr>
      <w:r>
        <w:rPr>
          <w:rFonts w:ascii="Arial" w:cs="Arial" w:eastAsia="Arial" w:hAnsi="Arial"/>
          <w:sz w:val="24"/>
          <w:szCs w:val="24"/>
        </w:rPr>
        <w:t xml:space="preserve">3. Основными задачами настоящего Порядка являются:</w:t>
      </w:r>
    </w:p>
    <w:p>
      <w:pPr>
        <w:spacing w:after="60"/>
        <w:ind w:firstLine="567"/>
        <w:jc w:val="both"/>
      </w:pPr>
      <w:r>
        <w:rPr>
          <w:rFonts w:ascii="Arial" w:cs="Arial" w:eastAsia="Arial" w:hAnsi="Arial"/>
          <w:sz w:val="24"/>
          <w:szCs w:val="24"/>
        </w:rPr>
        <w:t xml:space="preserve">1) защита интересов предпринимателей и потребителей путем недопущения необоснованного установления и завышения стоимости работ (услуг);</w:t>
      </w:r>
    </w:p>
    <w:p>
      <w:pPr>
        <w:spacing w:after="60"/>
        <w:ind w:firstLine="567"/>
        <w:jc w:val="both"/>
      </w:pPr>
      <w:r>
        <w:rPr>
          <w:rFonts w:ascii="Arial" w:cs="Arial" w:eastAsia="Arial" w:hAnsi="Arial"/>
          <w:sz w:val="24"/>
          <w:szCs w:val="24"/>
        </w:rPr>
        <w:t xml:space="preserve">2) повышение ответственности руководителей государственных органов или государственных учреждений за достоверность материалов, представляемых для согласования стоимости работ (услуг);</w:t>
      </w:r>
    </w:p>
    <w:p>
      <w:pPr>
        <w:spacing w:after="60"/>
        <w:ind w:firstLine="567"/>
        <w:jc w:val="both"/>
      </w:pPr>
      <w:r>
        <w:rPr>
          <w:rFonts w:ascii="Arial" w:cs="Arial" w:eastAsia="Arial" w:hAnsi="Arial"/>
          <w:sz w:val="24"/>
          <w:szCs w:val="24"/>
        </w:rPr>
        <w:t xml:space="preserve">3) установление единого механизма формирования стоимости работ (услуг), выполняемых государственными органами или государственными учреждениями.</w:t>
      </w:r>
    </w:p>
    <w:p>
      <w:pPr>
        <w:spacing w:after="60"/>
        <w:ind w:firstLine="567"/>
        <w:jc w:val="both"/>
      </w:pPr>
      <w:r>
        <w:rPr>
          <w:rFonts w:ascii="Arial" w:cs="Arial" w:eastAsia="Arial" w:hAnsi="Arial"/>
          <w:sz w:val="24"/>
          <w:szCs w:val="24"/>
        </w:rPr>
        <w:t xml:space="preserve">4. Основными принципами формирования стоимости работ (услуг) являются:</w:t>
      </w:r>
    </w:p>
    <w:p>
      <w:pPr>
        <w:spacing w:after="60"/>
        <w:ind w:firstLine="567"/>
        <w:jc w:val="both"/>
      </w:pPr>
      <w:r>
        <w:rPr>
          <w:rFonts w:ascii="Arial" w:cs="Arial" w:eastAsia="Arial" w:hAnsi="Arial"/>
          <w:sz w:val="24"/>
          <w:szCs w:val="24"/>
        </w:rPr>
        <w:t xml:space="preserve">1) установление единых правил расчета стоимости работ (услуг) и обеспечение их экономической обоснованности на основе документально подтвержденных затрат;</w:t>
      </w:r>
    </w:p>
    <w:p>
      <w:pPr>
        <w:spacing w:after="60"/>
        <w:ind w:firstLine="567"/>
        <w:jc w:val="both"/>
      </w:pPr>
      <w:r>
        <w:rPr>
          <w:rFonts w:ascii="Arial" w:cs="Arial" w:eastAsia="Arial" w:hAnsi="Arial"/>
          <w:sz w:val="24"/>
          <w:szCs w:val="24"/>
        </w:rPr>
        <w:t xml:space="preserve">2) обеспечение финансовой устойчивости государственных органов или государственных учреждений путем включения в стоимость работ (услуг) плановых накоплений и нормы рентабельности, направленных на материально-техническое развитие;</w:t>
      </w:r>
    </w:p>
    <w:p>
      <w:pPr>
        <w:spacing w:after="60"/>
        <w:ind w:firstLine="567"/>
        <w:jc w:val="both"/>
      </w:pPr>
      <w:r>
        <w:rPr>
          <w:rFonts w:ascii="Arial" w:cs="Arial" w:eastAsia="Arial" w:hAnsi="Arial"/>
          <w:sz w:val="24"/>
          <w:szCs w:val="24"/>
        </w:rPr>
        <w:t xml:space="preserve">3) обеспечение равных условий и установление единых тарифов на работы (услуги) для всех категорий потребителей.</w:t>
      </w:r>
    </w:p>
    <w:p>
      <w:pPr>
        <w:spacing w:after="60"/>
        <w:ind w:firstLine="567"/>
        <w:jc w:val="both"/>
      </w:pPr>
      <w:r>
        <w:rPr>
          <w:rFonts w:ascii="Arial" w:cs="Arial" w:eastAsia="Arial" w:hAnsi="Arial"/>
          <w:sz w:val="24"/>
          <w:szCs w:val="24"/>
        </w:rPr>
        <w:t xml:space="preserve">5. Стоимость работ (услуг) определяется с учетом:</w:t>
      </w:r>
    </w:p>
    <w:p>
      <w:pPr>
        <w:spacing w:after="60"/>
        <w:ind w:firstLine="567"/>
        <w:jc w:val="both"/>
      </w:pPr>
      <w:r>
        <w:rPr>
          <w:rFonts w:ascii="Arial" w:cs="Arial" w:eastAsia="Arial" w:hAnsi="Arial"/>
          <w:sz w:val="24"/>
          <w:szCs w:val="24"/>
        </w:rPr>
        <w:t xml:space="preserve">1) фактических затрат государственных органов или государственных учреждений с округлением суммы до целого сома в сторону увеличения;</w:t>
      </w:r>
    </w:p>
    <w:p>
      <w:pPr>
        <w:spacing w:after="60"/>
        <w:ind w:firstLine="567"/>
        <w:jc w:val="both"/>
      </w:pPr>
      <w:r>
        <w:rPr>
          <w:rFonts w:ascii="Arial" w:cs="Arial" w:eastAsia="Arial" w:hAnsi="Arial"/>
          <w:sz w:val="24"/>
          <w:szCs w:val="24"/>
        </w:rPr>
        <w:t xml:space="preserve">2) плановых накоплений;</w:t>
      </w:r>
    </w:p>
    <w:p>
      <w:pPr>
        <w:spacing w:after="60"/>
        <w:ind w:firstLine="567"/>
        <w:jc w:val="both"/>
      </w:pPr>
      <w:r>
        <w:rPr>
          <w:rFonts w:ascii="Arial" w:cs="Arial" w:eastAsia="Arial" w:hAnsi="Arial"/>
          <w:sz w:val="24"/>
          <w:szCs w:val="24"/>
        </w:rPr>
        <w:t xml:space="preserve">3) нормы рентабельности.</w:t>
      </w:r>
    </w:p>
    <w:p>
      <w:pPr>
        <w:spacing w:after="60"/>
        <w:ind w:firstLine="567"/>
        <w:jc w:val="both"/>
      </w:pPr>
      <w:r>
        <w:rPr>
          <w:rFonts w:ascii="Arial" w:cs="Arial" w:eastAsia="Arial" w:hAnsi="Arial"/>
          <w:sz w:val="24"/>
          <w:szCs w:val="24"/>
        </w:rPr>
        <w:t xml:space="preserve">6. Стоимость работ (услуг), выполняемых государственными органами или государственными учреждениями, подлежит согласованию с уполномоченным государственным органом в сфере антимонопольного регулирования и утверждается вышестоящим государственным органом. В случаях, когда нормативными правовыми актами Кыргызской Республики предусмотрено утверждение стоимости работ (услуг) Кабинетом Министров Кыргызской Республики, после согласования с уполномоченным государственным органом в сфере антимонопольного регулирования стоимость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7. Согласование стоимости работ (услуг) с уполномоченным государственным органом в сфере антимонопольного регулирования осуществляется в электронном формате посредством системы электронного документооборота "Infodocs".</w:t>
      </w:r>
    </w:p>
    <w:p>
      <w:pPr>
        <w:spacing w:after="60"/>
        <w:ind w:firstLine="567"/>
        <w:jc w:val="both"/>
      </w:pPr>
      <w:r>
        <w:rPr>
          <w:rFonts w:ascii="Arial" w:cs="Arial" w:eastAsia="Arial" w:hAnsi="Arial"/>
          <w:sz w:val="24"/>
          <w:szCs w:val="24"/>
        </w:rPr>
        <w:t xml:space="preserve">8. Государственные органы или государственные учреждения обязаны публиковать утвержденную стоимость работ (услуг) на своих официальных сайтах, а также размещать ее для ознакомления в доступных для потребителей местах.</w:t>
      </w:r>
    </w:p>
    <w:p>
      <w:pPr>
        <w:spacing w:after="60"/>
        <w:ind w:firstLine="567"/>
        <w:jc w:val="both"/>
      </w:pPr>
      <w:r>
        <w:rPr>
          <w:rFonts w:ascii="Arial" w:cs="Arial" w:eastAsia="Arial" w:hAnsi="Arial"/>
          <w:sz w:val="24"/>
          <w:szCs w:val="24"/>
        </w:rPr>
        <w:t xml:space="preserve">9. Государственные органы или государственные учреждения обязаны вести раздельный учет доходов, расходов и используемых активов по каждому виду работ (услуг).</w:t>
      </w:r>
    </w:p>
    <w:p>
      <w:pPr>
        <w:spacing w:after="200" w:before="200"/>
        <w:jc w:val="center"/>
      </w:pPr>
      <w:r>
        <w:rPr>
          <w:rFonts w:ascii="Arial" w:cs="Arial" w:eastAsia="Arial" w:hAnsi="Arial"/>
          <w:b/>
          <w:bCs/>
          <w:sz w:val="24"/>
          <w:szCs w:val="24"/>
        </w:rPr>
        <w:t xml:space="preserve">Глава 2. Порядок представления документов для согласования стоимости работ (услуг)</w:t>
      </w:r>
    </w:p>
    <w:p>
      <w:pPr>
        <w:spacing w:after="60"/>
        <w:ind w:firstLine="567"/>
        <w:jc w:val="both"/>
      </w:pPr>
      <w:r>
        <w:rPr>
          <w:rFonts w:ascii="Arial" w:cs="Arial" w:eastAsia="Arial" w:hAnsi="Arial"/>
          <w:sz w:val="24"/>
          <w:szCs w:val="24"/>
        </w:rPr>
        <w:t xml:space="preserve">10. Для согласования стоимости работ (услуг) в уполномоченный государственный орган в сфере антимонопольного регулирования представляются следующие расчетные материалы:</w:t>
      </w:r>
    </w:p>
    <w:p>
      <w:pPr>
        <w:spacing w:after="60"/>
        <w:ind w:firstLine="567"/>
        <w:jc w:val="both"/>
      </w:pPr>
      <w:r>
        <w:rPr>
          <w:rFonts w:ascii="Arial" w:cs="Arial" w:eastAsia="Arial" w:hAnsi="Arial"/>
          <w:sz w:val="24"/>
          <w:szCs w:val="24"/>
        </w:rPr>
        <w:t xml:space="preserve">1) сопроводительное письмо (в произвольной форме);</w:t>
      </w:r>
    </w:p>
    <w:p>
      <w:pPr>
        <w:spacing w:after="60"/>
        <w:ind w:firstLine="567"/>
        <w:jc w:val="both"/>
      </w:pPr>
      <w:r>
        <w:rPr>
          <w:rFonts w:ascii="Arial" w:cs="Arial" w:eastAsia="Arial" w:hAnsi="Arial"/>
          <w:sz w:val="24"/>
          <w:szCs w:val="24"/>
        </w:rPr>
        <w:t xml:space="preserve">2) пояснительная записка, содержащая краткую характеристику органа, оказывающего работы (услуги), а также нормативно-правовую основу их оказания;</w:t>
      </w:r>
    </w:p>
    <w:p>
      <w:pPr>
        <w:spacing w:after="60"/>
        <w:ind w:firstLine="567"/>
        <w:jc w:val="both"/>
      </w:pPr>
      <w:r>
        <w:rPr>
          <w:rFonts w:ascii="Arial" w:cs="Arial" w:eastAsia="Arial" w:hAnsi="Arial"/>
          <w:sz w:val="24"/>
          <w:szCs w:val="24"/>
        </w:rPr>
        <w:t xml:space="preserve">3) проект прейскуранта стоимости работ (услуг);</w:t>
      </w:r>
    </w:p>
    <w:p>
      <w:pPr>
        <w:spacing w:after="60"/>
        <w:ind w:firstLine="567"/>
        <w:jc w:val="both"/>
      </w:pPr>
      <w:r>
        <w:rPr>
          <w:rFonts w:ascii="Arial" w:cs="Arial" w:eastAsia="Arial" w:hAnsi="Arial"/>
          <w:sz w:val="24"/>
          <w:szCs w:val="24"/>
        </w:rPr>
        <w:t xml:space="preserve">4) характеристика работ (услуг), включаемых в прейскурант;</w:t>
      </w:r>
    </w:p>
    <w:p>
      <w:pPr>
        <w:spacing w:after="60"/>
        <w:ind w:firstLine="567"/>
        <w:jc w:val="both"/>
      </w:pPr>
      <w:r>
        <w:rPr>
          <w:rFonts w:ascii="Arial" w:cs="Arial" w:eastAsia="Arial" w:hAnsi="Arial"/>
          <w:sz w:val="24"/>
          <w:szCs w:val="24"/>
        </w:rPr>
        <w:t xml:space="preserve">5) калькуляции себестоимости по видам работ (услуг) с расшифровкой материальных, трудовых и иных затрат;</w:t>
      </w:r>
    </w:p>
    <w:p>
      <w:pPr>
        <w:spacing w:after="60"/>
        <w:ind w:firstLine="567"/>
        <w:jc w:val="both"/>
      </w:pPr>
      <w:r>
        <w:rPr>
          <w:rFonts w:ascii="Arial" w:cs="Arial" w:eastAsia="Arial" w:hAnsi="Arial"/>
          <w:sz w:val="24"/>
          <w:szCs w:val="24"/>
        </w:rPr>
        <w:t xml:space="preserve">6) анализ применения действующей стоимости в суммарном и количественном выражении по каждому виду работ (услуг);</w:t>
      </w:r>
    </w:p>
    <w:p>
      <w:pPr>
        <w:spacing w:after="60"/>
        <w:ind w:firstLine="567"/>
        <w:jc w:val="both"/>
      </w:pPr>
      <w:r>
        <w:rPr>
          <w:rFonts w:ascii="Arial" w:cs="Arial" w:eastAsia="Arial" w:hAnsi="Arial"/>
          <w:sz w:val="24"/>
          <w:szCs w:val="24"/>
        </w:rPr>
        <w:t xml:space="preserve">7) обоснование причин изменения уровня стоимости работ (услуг);</w:t>
      </w:r>
    </w:p>
    <w:p>
      <w:pPr>
        <w:spacing w:after="60"/>
        <w:ind w:firstLine="567"/>
        <w:jc w:val="both"/>
      </w:pPr>
      <w:r>
        <w:rPr>
          <w:rFonts w:ascii="Arial" w:cs="Arial" w:eastAsia="Arial" w:hAnsi="Arial"/>
          <w:sz w:val="24"/>
          <w:szCs w:val="24"/>
        </w:rPr>
        <w:t xml:space="preserve">8) отчет о фактическом исполнении сметы доходов и расходов по специальным счетам;</w:t>
      </w:r>
    </w:p>
    <w:p>
      <w:pPr>
        <w:spacing w:after="60"/>
        <w:ind w:firstLine="567"/>
        <w:jc w:val="both"/>
      </w:pPr>
      <w:r>
        <w:rPr>
          <w:rFonts w:ascii="Arial" w:cs="Arial" w:eastAsia="Arial" w:hAnsi="Arial"/>
          <w:sz w:val="24"/>
          <w:szCs w:val="24"/>
        </w:rPr>
        <w:t xml:space="preserve">9) сравнительная таблица действующей стоимости и предлагаемого проекта;</w:t>
      </w:r>
    </w:p>
    <w:p>
      <w:pPr>
        <w:spacing w:after="60"/>
        <w:ind w:firstLine="567"/>
        <w:jc w:val="both"/>
      </w:pPr>
      <w:r>
        <w:rPr>
          <w:rFonts w:ascii="Arial" w:cs="Arial" w:eastAsia="Arial" w:hAnsi="Arial"/>
          <w:sz w:val="24"/>
          <w:szCs w:val="24"/>
        </w:rPr>
        <w:t xml:space="preserve">10) обоснование принятого объема рентабельности и плановых накоплений.</w:t>
      </w:r>
    </w:p>
    <w:p>
      <w:pPr>
        <w:spacing w:after="60"/>
        <w:ind w:firstLine="567"/>
        <w:jc w:val="both"/>
      </w:pPr>
      <w:r>
        <w:rPr>
          <w:rFonts w:ascii="Arial" w:cs="Arial" w:eastAsia="Arial" w:hAnsi="Arial"/>
          <w:sz w:val="24"/>
          <w:szCs w:val="24"/>
        </w:rPr>
        <w:t xml:space="preserve">11. В случае если государственные органы или государственные учреждения представляют на согласование в уполномоченный государственный орган в сфере антимонопольного регулирования стоимость работ (услуг), включенных в Единый реестр государственных услуг, они дополнительно предоставляют утвержденные стандарты государственных услуг.</w:t>
      </w:r>
    </w:p>
    <w:p>
      <w:pPr>
        <w:spacing w:after="60"/>
        <w:ind w:firstLine="567"/>
        <w:jc w:val="both"/>
      </w:pPr>
      <w:r>
        <w:rPr>
          <w:rFonts w:ascii="Arial" w:cs="Arial" w:eastAsia="Arial" w:hAnsi="Arial"/>
          <w:sz w:val="24"/>
          <w:szCs w:val="24"/>
        </w:rPr>
        <w:t xml:space="preserve">12. В ходе рассмотрения расчетных материалов, в зависимости от специфики оказываемых работ (услуг), могут быть запрошены следующие дополнительные данные, необходимые для уточнения и согласования уровня стоимости:</w:t>
      </w:r>
    </w:p>
    <w:p>
      <w:pPr>
        <w:spacing w:after="60"/>
        <w:ind w:firstLine="567"/>
        <w:jc w:val="both"/>
      </w:pPr>
      <w:r>
        <w:rPr>
          <w:rFonts w:ascii="Arial" w:cs="Arial" w:eastAsia="Arial" w:hAnsi="Arial"/>
          <w:sz w:val="24"/>
          <w:szCs w:val="24"/>
        </w:rPr>
        <w:t xml:space="preserve">1) бухгалтерская отчетность по специальным счетам;</w:t>
      </w:r>
    </w:p>
    <w:p>
      <w:pPr>
        <w:spacing w:after="60"/>
        <w:ind w:firstLine="567"/>
        <w:jc w:val="both"/>
      </w:pPr>
      <w:r>
        <w:rPr>
          <w:rFonts w:ascii="Arial" w:cs="Arial" w:eastAsia="Arial" w:hAnsi="Arial"/>
          <w:sz w:val="24"/>
          <w:szCs w:val="24"/>
        </w:rPr>
        <w:t xml:space="preserve">2) информация о средствах специального счета, направленных на исполнение расходных обязательств по содержанию штатной численности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утвержденные соответствующими вышестоящими органами нормы времени по всем позициям оказываемых работ (услуг) (акты хронометража, протоколы), а также сравнительная таблица в случае их изменения;</w:t>
      </w:r>
    </w:p>
    <w:p>
      <w:pPr>
        <w:spacing w:after="60"/>
        <w:ind w:firstLine="567"/>
        <w:jc w:val="both"/>
      </w:pPr>
      <w:r>
        <w:rPr>
          <w:rFonts w:ascii="Arial" w:cs="Arial" w:eastAsia="Arial" w:hAnsi="Arial"/>
          <w:sz w:val="24"/>
          <w:szCs w:val="24"/>
        </w:rPr>
        <w:t xml:space="preserve">4) расчет затрат на расходные материалы в соответствии с утвержденными нормами по всем позициям оказываемых работ (услуг);</w:t>
      </w:r>
    </w:p>
    <w:p>
      <w:pPr>
        <w:spacing w:after="60"/>
        <w:ind w:firstLine="567"/>
        <w:jc w:val="both"/>
      </w:pPr>
      <w:r>
        <w:rPr>
          <w:rFonts w:ascii="Arial" w:cs="Arial" w:eastAsia="Arial" w:hAnsi="Arial"/>
          <w:sz w:val="24"/>
          <w:szCs w:val="24"/>
        </w:rPr>
        <w:t xml:space="preserve">5) обоснование стоимости расходных материалов, включаемых в расчет (прайс-листы, счета-фактуры);</w:t>
      </w:r>
    </w:p>
    <w:p>
      <w:pPr>
        <w:spacing w:after="60"/>
        <w:ind w:firstLine="567"/>
        <w:jc w:val="both"/>
      </w:pPr>
      <w:r>
        <w:rPr>
          <w:rFonts w:ascii="Arial" w:cs="Arial" w:eastAsia="Arial" w:hAnsi="Arial"/>
          <w:sz w:val="24"/>
          <w:szCs w:val="24"/>
        </w:rPr>
        <w:t xml:space="preserve">6) сравнительная таблица затрат на расходные материалы с указанием действующей и проектируемой стоимости;</w:t>
      </w:r>
    </w:p>
    <w:p>
      <w:pPr>
        <w:spacing w:after="60"/>
        <w:ind w:firstLine="567"/>
        <w:jc w:val="both"/>
      </w:pPr>
      <w:r>
        <w:rPr>
          <w:rFonts w:ascii="Arial" w:cs="Arial" w:eastAsia="Arial" w:hAnsi="Arial"/>
          <w:sz w:val="24"/>
          <w:szCs w:val="24"/>
        </w:rPr>
        <w:t xml:space="preserve">7) перечень основных средств с указанием их балансовой стоимости и степени износа;</w:t>
      </w:r>
    </w:p>
    <w:p>
      <w:pPr>
        <w:spacing w:after="60"/>
        <w:ind w:firstLine="567"/>
        <w:jc w:val="both"/>
      </w:pPr>
      <w:r>
        <w:rPr>
          <w:rFonts w:ascii="Arial" w:cs="Arial" w:eastAsia="Arial" w:hAnsi="Arial"/>
          <w:sz w:val="24"/>
          <w:szCs w:val="24"/>
        </w:rPr>
        <w:t xml:space="preserve">8) расшифровка расходов по статьям затрат, включаемых в расчет коэффициента накладных расходов либо стоимости нормо-часа.</w:t>
      </w:r>
    </w:p>
    <w:p>
      <w:pPr>
        <w:spacing w:after="60"/>
        <w:ind w:firstLine="567"/>
        <w:jc w:val="both"/>
      </w:pPr>
      <w:r>
        <w:rPr>
          <w:rFonts w:ascii="Arial" w:cs="Arial" w:eastAsia="Arial" w:hAnsi="Arial"/>
          <w:sz w:val="24"/>
          <w:szCs w:val="24"/>
        </w:rPr>
        <w:t xml:space="preserve">13. Пояснительная записка и проект прейскуранта стоимости работ (услуг) представляются за подписью руководителя государственного органа или государственного учреждения. Расчетные материалы подписываются руководителем управления (отдела, сектора) данного органа, на которое возложена разработка проектов стоимости работ (услуг).</w:t>
      </w:r>
    </w:p>
    <w:p>
      <w:pPr>
        <w:spacing w:after="60"/>
        <w:ind w:firstLine="567"/>
        <w:jc w:val="both"/>
      </w:pPr>
      <w:r>
        <w:rPr>
          <w:rFonts w:ascii="Arial" w:cs="Arial" w:eastAsia="Arial" w:hAnsi="Arial"/>
          <w:sz w:val="24"/>
          <w:szCs w:val="24"/>
        </w:rPr>
        <w:t xml:space="preserve">14. Ответственность за полноту и достоверность материалов, представляемых для согласования стоимости работ (услуг), возлагается на руководителей государственного органа или государственного учреждения.</w:t>
      </w:r>
    </w:p>
    <w:p>
      <w:pPr>
        <w:spacing w:after="200" w:before="200"/>
        <w:jc w:val="center"/>
      </w:pPr>
      <w:r>
        <w:rPr>
          <w:rFonts w:ascii="Arial" w:cs="Arial" w:eastAsia="Arial" w:hAnsi="Arial"/>
          <w:b/>
          <w:bCs/>
          <w:sz w:val="24"/>
          <w:szCs w:val="24"/>
        </w:rPr>
        <w:t xml:space="preserve">Глава 3. Порядок согласования стоимости работ (услуг)</w:t>
      </w:r>
    </w:p>
    <w:p>
      <w:pPr>
        <w:spacing w:after="60"/>
        <w:ind w:firstLine="567"/>
        <w:jc w:val="both"/>
      </w:pPr>
      <w:r>
        <w:rPr>
          <w:rFonts w:ascii="Arial" w:cs="Arial" w:eastAsia="Arial" w:hAnsi="Arial"/>
          <w:sz w:val="24"/>
          <w:szCs w:val="24"/>
        </w:rPr>
        <w:t xml:space="preserve">15. Стоимость работ (услуг) формируется исходя из экономически обоснованных затрат (фактических и/или плановых), плановых накоплений и нормы рентабельности, определяемой индивидуально для каждого государственного органа или государственного учреждения с учетом отраслевой специфики и обязательных налоговых отчислений.</w:t>
      </w:r>
    </w:p>
    <w:p>
      <w:pPr>
        <w:spacing w:after="60"/>
        <w:ind w:firstLine="567"/>
        <w:jc w:val="both"/>
      </w:pPr>
      <w:r>
        <w:rPr>
          <w:rFonts w:ascii="Arial" w:cs="Arial" w:eastAsia="Arial" w:hAnsi="Arial"/>
          <w:sz w:val="24"/>
          <w:szCs w:val="24"/>
        </w:rPr>
        <w:t xml:space="preserve">16. Калькуляции по каждой позиции прейскуранта составляются в развернутом виде по всем статьям затрат. В случае невозможности определения прямых затрат на конкретный вид работ (услуг) применяется рассчитанная стоимость нормо-часа, определяемая исходя из фактических затрат и нормы времени, утвержденной вышестоящим государственным органом либо фактически сложившегося времени за последние два года.</w:t>
      </w:r>
    </w:p>
    <w:p>
      <w:pPr>
        <w:spacing w:after="60"/>
        <w:ind w:firstLine="567"/>
        <w:jc w:val="both"/>
      </w:pPr>
      <w:r>
        <w:rPr>
          <w:rFonts w:ascii="Arial" w:cs="Arial" w:eastAsia="Arial" w:hAnsi="Arial"/>
          <w:sz w:val="24"/>
          <w:szCs w:val="24"/>
        </w:rPr>
        <w:t xml:space="preserve">17. Себестоимость работ (услуг) формируется по следующим статьям:</w:t>
      </w:r>
    </w:p>
    <w:p>
      <w:pPr>
        <w:spacing w:after="60"/>
        <w:ind w:firstLine="567"/>
        <w:jc w:val="both"/>
      </w:pPr>
      <w:r>
        <w:rPr>
          <w:rFonts w:ascii="Arial" w:cs="Arial" w:eastAsia="Arial" w:hAnsi="Arial"/>
          <w:sz w:val="24"/>
          <w:szCs w:val="24"/>
        </w:rPr>
        <w:t xml:space="preserve">1) материальные затраты;</w:t>
      </w:r>
    </w:p>
    <w:p>
      <w:pPr>
        <w:spacing w:after="60"/>
        <w:ind w:firstLine="567"/>
        <w:jc w:val="both"/>
      </w:pPr>
      <w:r>
        <w:rPr>
          <w:rFonts w:ascii="Arial" w:cs="Arial" w:eastAsia="Arial" w:hAnsi="Arial"/>
          <w:sz w:val="24"/>
          <w:szCs w:val="24"/>
        </w:rPr>
        <w:t xml:space="preserve">2) затраты на оплату труда и отчисления по социальному страхованию;</w:t>
      </w:r>
    </w:p>
    <w:p>
      <w:pPr>
        <w:spacing w:after="60"/>
        <w:ind w:firstLine="567"/>
        <w:jc w:val="both"/>
      </w:pPr>
      <w:r>
        <w:rPr>
          <w:rFonts w:ascii="Arial" w:cs="Arial" w:eastAsia="Arial" w:hAnsi="Arial"/>
          <w:sz w:val="24"/>
          <w:szCs w:val="24"/>
        </w:rPr>
        <w:t xml:space="preserve">3) амортизация основных средств и нематериальных активов за отчетный период, непосредственно используемых при оказании работ (услуг);</w:t>
      </w:r>
    </w:p>
    <w:p>
      <w:pPr>
        <w:spacing w:after="60"/>
        <w:ind w:firstLine="567"/>
        <w:jc w:val="both"/>
      </w:pPr>
      <w:r>
        <w:rPr>
          <w:rFonts w:ascii="Arial" w:cs="Arial" w:eastAsia="Arial" w:hAnsi="Arial"/>
          <w:sz w:val="24"/>
          <w:szCs w:val="24"/>
        </w:rPr>
        <w:t xml:space="preserve">4) услуги сторонних организаций, участвующих в оказании работ (услуг);</w:t>
      </w:r>
    </w:p>
    <w:p>
      <w:pPr>
        <w:spacing w:after="60"/>
        <w:ind w:firstLine="567"/>
        <w:jc w:val="both"/>
      </w:pPr>
      <w:r>
        <w:rPr>
          <w:rFonts w:ascii="Arial" w:cs="Arial" w:eastAsia="Arial" w:hAnsi="Arial"/>
          <w:sz w:val="24"/>
          <w:szCs w:val="24"/>
        </w:rPr>
        <w:t xml:space="preserve">5) текущий ремонт в размере 10 процентов от балансовой (остаточной) стоимости на начало периода;</w:t>
      </w:r>
    </w:p>
    <w:p>
      <w:pPr>
        <w:spacing w:after="60"/>
        <w:ind w:firstLine="567"/>
        <w:jc w:val="both"/>
      </w:pPr>
      <w:r>
        <w:rPr>
          <w:rFonts w:ascii="Arial" w:cs="Arial" w:eastAsia="Arial" w:hAnsi="Arial"/>
          <w:sz w:val="24"/>
          <w:szCs w:val="24"/>
        </w:rPr>
        <w:t xml:space="preserve">6) коммунальные расходы;</w:t>
      </w:r>
    </w:p>
    <w:p>
      <w:pPr>
        <w:spacing w:after="60"/>
        <w:ind w:firstLine="567"/>
        <w:jc w:val="both"/>
      </w:pPr>
      <w:r>
        <w:rPr>
          <w:rFonts w:ascii="Arial" w:cs="Arial" w:eastAsia="Arial" w:hAnsi="Arial"/>
          <w:sz w:val="24"/>
          <w:szCs w:val="24"/>
        </w:rPr>
        <w:t xml:space="preserve">7) транспортные расходы (затраты на ремонт автомашин возмещаются из амортизационных отчислений на транспорт);</w:t>
      </w:r>
    </w:p>
    <w:p>
      <w:pPr>
        <w:spacing w:after="60"/>
        <w:ind w:firstLine="567"/>
        <w:jc w:val="both"/>
      </w:pPr>
      <w:r>
        <w:rPr>
          <w:rFonts w:ascii="Arial" w:cs="Arial" w:eastAsia="Arial" w:hAnsi="Arial"/>
          <w:sz w:val="24"/>
          <w:szCs w:val="24"/>
        </w:rPr>
        <w:t xml:space="preserve">8) накладные расходы;</w:t>
      </w:r>
    </w:p>
    <w:p>
      <w:pPr>
        <w:spacing w:after="60"/>
        <w:ind w:firstLine="567"/>
        <w:jc w:val="both"/>
      </w:pPr>
      <w:r>
        <w:rPr>
          <w:rFonts w:ascii="Arial" w:cs="Arial" w:eastAsia="Arial" w:hAnsi="Arial"/>
          <w:sz w:val="24"/>
          <w:szCs w:val="24"/>
        </w:rPr>
        <w:t xml:space="preserve">9) прочие затраты;</w:t>
      </w:r>
    </w:p>
    <w:p>
      <w:pPr>
        <w:spacing w:after="60"/>
        <w:ind w:firstLine="567"/>
        <w:jc w:val="both"/>
      </w:pPr>
      <w:r>
        <w:rPr>
          <w:rFonts w:ascii="Arial" w:cs="Arial" w:eastAsia="Arial" w:hAnsi="Arial"/>
          <w:sz w:val="24"/>
          <w:szCs w:val="24"/>
        </w:rPr>
        <w:t xml:space="preserve">10) банковская комиссия при безналичных расчетах (за исключением интернет-эквайринга).</w:t>
      </w:r>
    </w:p>
    <w:p>
      <w:pPr>
        <w:spacing w:after="60"/>
        <w:ind w:firstLine="567"/>
        <w:jc w:val="both"/>
      </w:pPr>
      <w:r>
        <w:rPr>
          <w:rFonts w:ascii="Arial" w:cs="Arial" w:eastAsia="Arial" w:hAnsi="Arial"/>
          <w:sz w:val="24"/>
          <w:szCs w:val="24"/>
        </w:rPr>
        <w:t xml:space="preserve">18. Материальные затраты отражают стоимость приобретаемых у сторонних поставщиков материалов, необходимых для оказания работ (услуг), без учета налога на добавленную стоимость (НДС), а в случае, если государственный орган или государственное учреждение является плательщиком НДС - с учетом НДС.</w:t>
      </w:r>
    </w:p>
    <w:p>
      <w:pPr>
        <w:spacing w:after="60"/>
        <w:ind w:firstLine="567"/>
        <w:jc w:val="both"/>
      </w:pPr>
      <w:r>
        <w:rPr>
          <w:rFonts w:ascii="Arial" w:cs="Arial" w:eastAsia="Arial" w:hAnsi="Arial"/>
          <w:sz w:val="24"/>
          <w:szCs w:val="24"/>
        </w:rPr>
        <w:t xml:space="preserve">19. Затраты на оплату труда включают все виды выплат, предусмотренные трудовым законодательством Кыргызской Республики (заработная плата, премии, надбавки, отпускные, компенсации, районные и иные коэффициенты), а также оплату труда внештатных работников, привлекаемых для выполнения работ (услуг) по договорам.</w:t>
      </w:r>
    </w:p>
    <w:p>
      <w:pPr>
        <w:spacing w:after="60"/>
        <w:ind w:firstLine="567"/>
        <w:jc w:val="both"/>
      </w:pPr>
      <w:r>
        <w:rPr>
          <w:rFonts w:ascii="Arial" w:cs="Arial" w:eastAsia="Arial" w:hAnsi="Arial"/>
          <w:sz w:val="24"/>
          <w:szCs w:val="24"/>
        </w:rPr>
        <w:t xml:space="preserve">20. Отчисления по социальному страхованию осуществляются в соответствии с требованиями законодательства Кыргызской Республики в сфере государственного социального страхования.</w:t>
      </w:r>
    </w:p>
    <w:p>
      <w:pPr>
        <w:spacing w:after="60"/>
        <w:ind w:firstLine="567"/>
        <w:jc w:val="both"/>
      </w:pPr>
      <w:r>
        <w:rPr>
          <w:rFonts w:ascii="Arial" w:cs="Arial" w:eastAsia="Arial" w:hAnsi="Arial"/>
          <w:sz w:val="24"/>
          <w:szCs w:val="24"/>
        </w:rPr>
        <w:t xml:space="preserve">21. Амортизация основных средств и нематериальных активов отражает сумму амортизационных отчислений по основным средствам и нематериальным активам, непосредственно используемым при оказании работ (услуг), начисляемых в соответствии с установленными нормативами либо исходя из срока их эксплуатации за год.</w:t>
      </w:r>
    </w:p>
    <w:p>
      <w:pPr>
        <w:spacing w:after="60"/>
        <w:ind w:firstLine="567"/>
        <w:jc w:val="both"/>
      </w:pPr>
      <w:r>
        <w:rPr>
          <w:rFonts w:ascii="Arial" w:cs="Arial" w:eastAsia="Arial" w:hAnsi="Arial"/>
          <w:sz w:val="24"/>
          <w:szCs w:val="24"/>
        </w:rPr>
        <w:t xml:space="preserve">22. Текущий ремонт включается в стоимость работ (услуг) в размере 10 процентов от балансовой стоимости основных средств.</w:t>
      </w:r>
    </w:p>
    <w:p>
      <w:pPr>
        <w:spacing w:after="60"/>
        <w:ind w:firstLine="567"/>
        <w:jc w:val="both"/>
      </w:pPr>
      <w:r>
        <w:rPr>
          <w:rFonts w:ascii="Arial" w:cs="Arial" w:eastAsia="Arial" w:hAnsi="Arial"/>
          <w:sz w:val="24"/>
          <w:szCs w:val="24"/>
        </w:rPr>
        <w:t xml:space="preserve">23. Коммунальные расходы включают затраты на оплату электрической и тепловой энергии, водоснабжения, водоотведения, услуг связи, включая интернет, а также иных коммунальных услуг, непосредственно связанных с процессом оказания работ (услуг).</w:t>
      </w:r>
    </w:p>
    <w:p>
      <w:pPr>
        <w:spacing w:after="60"/>
        <w:ind w:firstLine="567"/>
        <w:jc w:val="both"/>
      </w:pPr>
      <w:r>
        <w:rPr>
          <w:rFonts w:ascii="Arial" w:cs="Arial" w:eastAsia="Arial" w:hAnsi="Arial"/>
          <w:sz w:val="24"/>
          <w:szCs w:val="24"/>
        </w:rPr>
        <w:t xml:space="preserve">24. Транспортные расходы отражают затраты на горюче-смазочные материалы для автотранспортных средств в пределах норм, утвержденных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25. Накладные расходы рассчитываются исходя из итогов деятельности и определяются по отношению к основной заработной плате.</w:t>
      </w:r>
    </w:p>
    <w:p>
      <w:pPr>
        <w:spacing w:after="60"/>
        <w:ind w:firstLine="567"/>
        <w:jc w:val="both"/>
      </w:pPr>
      <w:r>
        <w:rPr>
          <w:rFonts w:ascii="Arial" w:cs="Arial" w:eastAsia="Arial" w:hAnsi="Arial"/>
          <w:sz w:val="24"/>
          <w:szCs w:val="24"/>
        </w:rPr>
        <w:t xml:space="preserve">26. Прочие затраты включают:</w:t>
      </w:r>
    </w:p>
    <w:p>
      <w:pPr>
        <w:spacing w:after="60"/>
        <w:ind w:firstLine="567"/>
        <w:jc w:val="both"/>
      </w:pPr>
      <w:r>
        <w:rPr>
          <w:rFonts w:ascii="Arial" w:cs="Arial" w:eastAsia="Arial" w:hAnsi="Arial"/>
          <w:sz w:val="24"/>
          <w:szCs w:val="24"/>
        </w:rPr>
        <w:t xml:space="preserve">1) расходы на получение разрешительных документов;</w:t>
      </w:r>
    </w:p>
    <w:p>
      <w:pPr>
        <w:spacing w:after="60"/>
        <w:ind w:firstLine="567"/>
        <w:jc w:val="both"/>
      </w:pPr>
      <w:r>
        <w:rPr>
          <w:rFonts w:ascii="Arial" w:cs="Arial" w:eastAsia="Arial" w:hAnsi="Arial"/>
          <w:sz w:val="24"/>
          <w:szCs w:val="24"/>
        </w:rPr>
        <w:t xml:space="preserve">2) платежи по кредитам банков в пределах ставок, определенных в установленном порядке;</w:t>
      </w:r>
    </w:p>
    <w:p>
      <w:pPr>
        <w:spacing w:after="60"/>
        <w:ind w:firstLine="567"/>
        <w:jc w:val="both"/>
      </w:pPr>
      <w:r>
        <w:rPr>
          <w:rFonts w:ascii="Arial" w:cs="Arial" w:eastAsia="Arial" w:hAnsi="Arial"/>
          <w:sz w:val="24"/>
          <w:szCs w:val="24"/>
        </w:rPr>
        <w:t xml:space="preserve">3) командировочные расходы в соответствии с нормативными правовыми актами;</w:t>
      </w:r>
    </w:p>
    <w:p>
      <w:pPr>
        <w:spacing w:after="60"/>
        <w:ind w:firstLine="567"/>
        <w:jc w:val="both"/>
      </w:pPr>
      <w:r>
        <w:rPr>
          <w:rFonts w:ascii="Arial" w:cs="Arial" w:eastAsia="Arial" w:hAnsi="Arial"/>
          <w:sz w:val="24"/>
          <w:szCs w:val="24"/>
        </w:rPr>
        <w:t xml:space="preserve">4) оплату услуг пожарной и сторожевой охраны;</w:t>
      </w:r>
    </w:p>
    <w:p>
      <w:pPr>
        <w:spacing w:after="60"/>
        <w:ind w:firstLine="567"/>
        <w:jc w:val="both"/>
      </w:pPr>
      <w:r>
        <w:rPr>
          <w:rFonts w:ascii="Arial" w:cs="Arial" w:eastAsia="Arial" w:hAnsi="Arial"/>
          <w:sz w:val="24"/>
          <w:szCs w:val="24"/>
        </w:rPr>
        <w:t xml:space="preserve">5) арендные платежи;</w:t>
      </w:r>
    </w:p>
    <w:p>
      <w:pPr>
        <w:spacing w:after="60"/>
        <w:ind w:firstLine="567"/>
        <w:jc w:val="both"/>
      </w:pPr>
      <w:r>
        <w:rPr>
          <w:rFonts w:ascii="Arial" w:cs="Arial" w:eastAsia="Arial" w:hAnsi="Arial"/>
          <w:sz w:val="24"/>
          <w:szCs w:val="24"/>
        </w:rPr>
        <w:t xml:space="preserve">6) подписку на периодическую, научно-техническую и нормативно-методическую литературу, необходимую для оказания работ (услуг);</w:t>
      </w:r>
    </w:p>
    <w:p>
      <w:pPr>
        <w:spacing w:after="60"/>
        <w:ind w:firstLine="567"/>
        <w:jc w:val="both"/>
      </w:pPr>
      <w:r>
        <w:rPr>
          <w:rFonts w:ascii="Arial" w:cs="Arial" w:eastAsia="Arial" w:hAnsi="Arial"/>
          <w:sz w:val="24"/>
          <w:szCs w:val="24"/>
        </w:rPr>
        <w:t xml:space="preserve">7) канцелярские расходы;</w:t>
      </w:r>
    </w:p>
    <w:p>
      <w:pPr>
        <w:spacing w:after="60"/>
        <w:ind w:firstLine="567"/>
        <w:jc w:val="both"/>
      </w:pPr>
      <w:r>
        <w:rPr>
          <w:rFonts w:ascii="Arial" w:cs="Arial" w:eastAsia="Arial" w:hAnsi="Arial"/>
          <w:sz w:val="24"/>
          <w:szCs w:val="24"/>
        </w:rPr>
        <w:t xml:space="preserve">8) износ малоценных и быстроизнашивающихся предметов;</w:t>
      </w:r>
    </w:p>
    <w:p>
      <w:pPr>
        <w:spacing w:after="60"/>
        <w:ind w:firstLine="567"/>
        <w:jc w:val="both"/>
      </w:pPr>
      <w:r>
        <w:rPr>
          <w:rFonts w:ascii="Arial" w:cs="Arial" w:eastAsia="Arial" w:hAnsi="Arial"/>
          <w:sz w:val="24"/>
          <w:szCs w:val="24"/>
        </w:rPr>
        <w:t xml:space="preserve">9) налоги и иные обязательные отчисления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27. В себестоимость работ (услуг) не включаются социальные выплаты (материальная помощь, ссуды, путевки и другие аналогичные выплаты), судебные издержки, штрафы и санкции, убытки от хищений, представительские и культурно-досуговые расходы, а также иные затраты, не связанные напрямую с оказанием работ (услуг).</w:t>
      </w:r>
    </w:p>
    <w:p>
      <w:pPr>
        <w:spacing w:after="60"/>
        <w:ind w:firstLine="567"/>
        <w:jc w:val="both"/>
      </w:pPr>
      <w:r>
        <w:rPr>
          <w:rFonts w:ascii="Arial" w:cs="Arial" w:eastAsia="Arial" w:hAnsi="Arial"/>
          <w:sz w:val="24"/>
          <w:szCs w:val="24"/>
        </w:rPr>
        <w:t xml:space="preserve">28. В стоимость работ (услуг), помимо покрытия текущих затрат, включаются плановые накопления и норма рентабельности.</w:t>
      </w:r>
    </w:p>
    <w:p>
      <w:pPr>
        <w:spacing w:after="60"/>
        <w:ind w:firstLine="567"/>
        <w:jc w:val="both"/>
      </w:pPr>
      <w:r>
        <w:rPr>
          <w:rFonts w:ascii="Arial" w:cs="Arial" w:eastAsia="Arial" w:hAnsi="Arial"/>
          <w:sz w:val="24"/>
          <w:szCs w:val="24"/>
        </w:rPr>
        <w:t xml:space="preserve">29. Денежные средства, полученные за счет плановых накоплений, могут направляться на расширение производства, модернизацию оборудования, реконструкцию основных фондов и пополнение оборотных средств.</w:t>
      </w:r>
    </w:p>
    <w:p>
      <w:pPr>
        <w:spacing w:after="60"/>
        <w:ind w:firstLine="567"/>
        <w:jc w:val="both"/>
      </w:pPr>
      <w:r>
        <w:rPr>
          <w:rFonts w:ascii="Arial" w:cs="Arial" w:eastAsia="Arial" w:hAnsi="Arial"/>
          <w:sz w:val="24"/>
          <w:szCs w:val="24"/>
        </w:rPr>
        <w:t xml:space="preserve">30. Денежные средства, полученные за счет нормы рентабельности, могут направляться на следующие расходы:</w:t>
      </w:r>
    </w:p>
    <w:p>
      <w:pPr>
        <w:spacing w:after="60"/>
        <w:ind w:firstLine="567"/>
        <w:jc w:val="both"/>
      </w:pPr>
      <w:r>
        <w:rPr>
          <w:rFonts w:ascii="Arial" w:cs="Arial" w:eastAsia="Arial" w:hAnsi="Arial"/>
          <w:sz w:val="24"/>
          <w:szCs w:val="24"/>
        </w:rPr>
        <w:t xml:space="preserve">1) отчисления вышестоящему государственному органу - в случае, если это предусмотрено учредительными документами государственного органа или государственного учреждения;</w:t>
      </w:r>
    </w:p>
    <w:p>
      <w:pPr>
        <w:spacing w:after="60"/>
        <w:ind w:firstLine="567"/>
        <w:jc w:val="both"/>
      </w:pPr>
      <w:r>
        <w:rPr>
          <w:rFonts w:ascii="Arial" w:cs="Arial" w:eastAsia="Arial" w:hAnsi="Arial"/>
          <w:sz w:val="24"/>
          <w:szCs w:val="24"/>
        </w:rPr>
        <w:t xml:space="preserve">2) финансирование проектирования, строительства, реконструкции и капитального ремонта административных зданий и сооружений;</w:t>
      </w:r>
    </w:p>
    <w:p>
      <w:pPr>
        <w:spacing w:after="60"/>
        <w:ind w:firstLine="567"/>
        <w:jc w:val="both"/>
      </w:pPr>
      <w:r>
        <w:rPr>
          <w:rFonts w:ascii="Arial" w:cs="Arial" w:eastAsia="Arial" w:hAnsi="Arial"/>
          <w:sz w:val="24"/>
          <w:szCs w:val="24"/>
        </w:rPr>
        <w:t xml:space="preserve">3) финансирование научно-исследовательских проектов;</w:t>
      </w:r>
    </w:p>
    <w:p>
      <w:pPr>
        <w:spacing w:after="60"/>
        <w:ind w:firstLine="567"/>
        <w:jc w:val="both"/>
      </w:pPr>
      <w:r>
        <w:rPr>
          <w:rFonts w:ascii="Arial" w:cs="Arial" w:eastAsia="Arial" w:hAnsi="Arial"/>
          <w:sz w:val="24"/>
          <w:szCs w:val="24"/>
        </w:rPr>
        <w:t xml:space="preserve">4) финансирование разработки и внедрения инновационных проектов;</w:t>
      </w:r>
    </w:p>
    <w:p>
      <w:pPr>
        <w:spacing w:after="60"/>
        <w:ind w:firstLine="567"/>
        <w:jc w:val="both"/>
      </w:pPr>
      <w:r>
        <w:rPr>
          <w:rFonts w:ascii="Arial" w:cs="Arial" w:eastAsia="Arial" w:hAnsi="Arial"/>
          <w:sz w:val="24"/>
          <w:szCs w:val="24"/>
        </w:rPr>
        <w:t xml:space="preserve">5) обновление материально-технической базы, включая приобретение специализированного оборудования и транспортных средств;</w:t>
      </w:r>
    </w:p>
    <w:p>
      <w:pPr>
        <w:spacing w:after="60"/>
        <w:ind w:firstLine="567"/>
        <w:jc w:val="both"/>
      </w:pPr>
      <w:r>
        <w:rPr>
          <w:rFonts w:ascii="Arial" w:cs="Arial" w:eastAsia="Arial" w:hAnsi="Arial"/>
          <w:sz w:val="24"/>
          <w:szCs w:val="24"/>
        </w:rPr>
        <w:t xml:space="preserve">6) меры социальной поддержки сотрудников - материальная помощь, оплата медицинских страховок, компенсация расходов на санаторно-курортное лечение;</w:t>
      </w:r>
    </w:p>
    <w:p>
      <w:pPr>
        <w:spacing w:after="60"/>
        <w:ind w:firstLine="567"/>
        <w:jc w:val="both"/>
      </w:pPr>
      <w:r>
        <w:rPr>
          <w:rFonts w:ascii="Arial" w:cs="Arial" w:eastAsia="Arial" w:hAnsi="Arial"/>
          <w:sz w:val="24"/>
          <w:szCs w:val="24"/>
        </w:rPr>
        <w:t xml:space="preserve">7) предоставление спонсорской помощи образовательным, культурным и спортивным организациям;</w:t>
      </w:r>
    </w:p>
    <w:p>
      <w:pPr>
        <w:spacing w:after="60"/>
        <w:ind w:firstLine="567"/>
        <w:jc w:val="both"/>
      </w:pPr>
      <w:r>
        <w:rPr>
          <w:rFonts w:ascii="Arial" w:cs="Arial" w:eastAsia="Arial" w:hAnsi="Arial"/>
          <w:sz w:val="24"/>
          <w:szCs w:val="24"/>
        </w:rPr>
        <w:t xml:space="preserve">8) финансирование мероприятий и задач в соответствии с полномочиями, установленными учредительными документами государственного органа или государственного учреждения.</w:t>
      </w:r>
    </w:p>
    <w:p>
      <w:pPr>
        <w:spacing w:after="60"/>
        <w:ind w:firstLine="567"/>
        <w:jc w:val="both"/>
      </w:pPr>
      <w:r>
        <w:rPr>
          <w:rFonts w:ascii="Arial" w:cs="Arial" w:eastAsia="Arial" w:hAnsi="Arial"/>
          <w:sz w:val="24"/>
          <w:szCs w:val="24"/>
        </w:rPr>
        <w:t xml:space="preserve">31. Неиспользованные остатки денежных средств подлежат переносу на следующий бюджетный год и учитываются в качестве остатка средств на его начало.</w:t>
      </w:r>
    </w:p>
    <w:p>
      <w:pPr>
        <w:spacing w:after="60"/>
        <w:ind w:firstLine="567"/>
        <w:jc w:val="both"/>
      </w:pPr>
      <w:r>
        <w:rPr>
          <w:rFonts w:ascii="Arial" w:cs="Arial" w:eastAsia="Arial" w:hAnsi="Arial"/>
          <w:sz w:val="24"/>
          <w:szCs w:val="24"/>
        </w:rPr>
        <w:t xml:space="preserve">32. Вышестоящий государственный орган (центральный аппарат) вправе распоряжаться денежными средствами, полученными за счет нормы рентабельности и плановых накоплений, в пределах норм и ограничений, установленных настоящим Порядком, включая возможность перераспределения указанных денежных средств между государственными органами или государственными учреждениями, на которые распространяется действие настоящего Порядка.</w:t>
      </w:r>
    </w:p>
    <w:p>
      <w:pPr>
        <w:spacing w:after="60"/>
        <w:ind w:firstLine="567"/>
        <w:jc w:val="both"/>
      </w:pPr>
      <w:r>
        <w:rPr>
          <w:rFonts w:ascii="Arial" w:cs="Arial" w:eastAsia="Arial" w:hAnsi="Arial"/>
          <w:sz w:val="24"/>
          <w:szCs w:val="24"/>
        </w:rPr>
        <w:t xml:space="preserve">33. Уполномоченный государственный орган в сфере антимонопольного регулирования рассматривает представленные проекты стоимости работ (услуг) и согласовывают их в срок не позднее 20 рабочих дней со дня поступления всех расчетных и справочных материалов в полном объеме, предусмотренном настоящим Порядком.</w:t>
      </w:r>
    </w:p>
    <w:p>
      <w:pPr>
        <w:spacing w:after="60"/>
        <w:ind w:firstLine="567"/>
        <w:jc w:val="both"/>
      </w:pPr>
      <w:r>
        <w:rPr>
          <w:rFonts w:ascii="Arial" w:cs="Arial" w:eastAsia="Arial" w:hAnsi="Arial"/>
          <w:sz w:val="24"/>
          <w:szCs w:val="24"/>
        </w:rPr>
        <w:t xml:space="preserve">34. В случае, если проект прейскуранта стоимости работ (услуг) содержит более 20 позиций, срок согласования устанавливается до 30 рабочих дней со дня поступления всех расчетных и справочных материалов в полном объеме.</w:t>
      </w:r>
    </w:p>
    <w:p>
      <w:pPr>
        <w:spacing w:after="60"/>
        <w:ind w:firstLine="567"/>
        <w:jc w:val="both"/>
      </w:pPr>
      <w:r>
        <w:rPr>
          <w:rFonts w:ascii="Arial" w:cs="Arial" w:eastAsia="Arial" w:hAnsi="Arial"/>
          <w:sz w:val="24"/>
          <w:szCs w:val="24"/>
        </w:rPr>
        <w:t xml:space="preserve">35. Документы, представленные не в полном объеме либо с нарушением требований настоящего Порядка, подлежат возврату на доработку в срок не позднее 5 рабочих дней со дня их поступления.</w:t>
      </w:r>
    </w:p>
    <w:p>
      <w:pPr>
        <w:spacing w:after="60"/>
        <w:ind w:firstLine="567"/>
        <w:jc w:val="both"/>
      </w:pPr>
      <w:r>
        <w:rPr>
          <w:rFonts w:ascii="Arial" w:cs="Arial" w:eastAsia="Arial" w:hAnsi="Arial"/>
          <w:sz w:val="24"/>
          <w:szCs w:val="24"/>
        </w:rPr>
        <w:t xml:space="preserve">36. Прейскурант стоимости работ (услуг) вступает в силу и подлежит применению с даты его утверждения вышестоящим государственным органом или Кабинетом Министров Кыргызской Республики.</w:t>
      </w:r>
    </w:p>
    <w:p>
      <w:pPr>
        <w:spacing w:after="60"/>
        <w:ind w:firstLine="567"/>
        <w:jc w:val="both"/>
      </w:pPr>
      <w:r>
        <w:rPr>
          <w:rFonts w:ascii="Arial" w:cs="Arial" w:eastAsia="Arial" w:hAnsi="Arial"/>
          <w:sz w:val="24"/>
          <w:szCs w:val="24"/>
        </w:rPr>
        <w:t xml:space="preserve">37. Прейскурант стоимости работ (услуг) подлежит обязательному пересмотру в следующих случаях:</w:t>
      </w:r>
    </w:p>
    <w:p>
      <w:pPr>
        <w:spacing w:after="60"/>
        <w:ind w:firstLine="567"/>
        <w:jc w:val="both"/>
      </w:pPr>
      <w:r>
        <w:rPr>
          <w:rFonts w:ascii="Arial" w:cs="Arial" w:eastAsia="Arial" w:hAnsi="Arial"/>
          <w:sz w:val="24"/>
          <w:szCs w:val="24"/>
        </w:rPr>
        <w:t xml:space="preserve">1) при изменении цен на ресурсы и материалы, повлекшем их удешевление либо удорожание;</w:t>
      </w:r>
    </w:p>
    <w:p>
      <w:pPr>
        <w:spacing w:after="60"/>
        <w:ind w:firstLine="567"/>
        <w:jc w:val="both"/>
      </w:pPr>
      <w:r>
        <w:rPr>
          <w:rFonts w:ascii="Arial" w:cs="Arial" w:eastAsia="Arial" w:hAnsi="Arial"/>
          <w:sz w:val="24"/>
          <w:szCs w:val="24"/>
        </w:rPr>
        <w:t xml:space="preserve">2) при изменении структуры себестоимости.</w:t>
      </w:r>
    </w:p>
    <w:p>
      <w:pPr>
        <w:spacing w:after="60"/>
        <w:ind w:firstLine="567"/>
        <w:jc w:val="both"/>
      </w:pPr>
      <w:r>
        <w:rPr>
          <w:rFonts w:ascii="Arial" w:cs="Arial" w:eastAsia="Arial" w:hAnsi="Arial"/>
          <w:sz w:val="24"/>
          <w:szCs w:val="24"/>
        </w:rPr>
        <w:t xml:space="preserve">38. Государственный контроль за правильностью формирования стоимости работ (услуг) и соблюдением требований настоящего Порядка осуществляет уполномоченный государственный орган в сфере антимонопольного регулирования в соответствии с законодательством Кыргызской Республики в сфере антимонопольного регулирования.</w:t>
      </w:r>
    </w:p>
    <w:p>
      <w:pPr>
        <w:spacing w:after="200" w:before="200"/>
        <w:jc w:val="center"/>
      </w:pPr>
      <w:r>
        <w:rPr>
          <w:rFonts w:ascii="Arial" w:cs="Arial" w:eastAsia="Arial" w:hAnsi="Arial"/>
          <w:b/>
          <w:bCs/>
          <w:sz w:val="24"/>
          <w:szCs w:val="24"/>
        </w:rPr>
        <w:t xml:space="preserve">Глава 4. Ответственность за нарушение настоящего Порядка</w:t>
      </w:r>
    </w:p>
    <w:p>
      <w:pPr>
        <w:spacing w:after="60"/>
        <w:ind w:firstLine="567"/>
        <w:jc w:val="both"/>
      </w:pPr>
      <w:r>
        <w:rPr>
          <w:rFonts w:ascii="Arial" w:cs="Arial" w:eastAsia="Arial" w:hAnsi="Arial"/>
          <w:sz w:val="24"/>
          <w:szCs w:val="24"/>
        </w:rPr>
        <w:t xml:space="preserve">39. К нарушениям порядка определения и применения стоимости работ (услуг) относятся:</w:t>
      </w:r>
    </w:p>
    <w:p>
      <w:pPr>
        <w:spacing w:after="60"/>
        <w:ind w:firstLine="567"/>
        <w:jc w:val="both"/>
      </w:pPr>
      <w:r>
        <w:rPr>
          <w:rFonts w:ascii="Arial" w:cs="Arial" w:eastAsia="Arial" w:hAnsi="Arial"/>
          <w:sz w:val="24"/>
          <w:szCs w:val="24"/>
        </w:rPr>
        <w:t xml:space="preserve">1) завышение или занижение регулируемых цен на работы (услуги);</w:t>
      </w:r>
    </w:p>
    <w:p>
      <w:pPr>
        <w:spacing w:after="60"/>
        <w:ind w:firstLine="567"/>
        <w:jc w:val="both"/>
      </w:pPr>
      <w:r>
        <w:rPr>
          <w:rFonts w:ascii="Arial" w:cs="Arial" w:eastAsia="Arial" w:hAnsi="Arial"/>
          <w:sz w:val="24"/>
          <w:szCs w:val="24"/>
        </w:rPr>
        <w:t xml:space="preserve">2) применение наценок (надбавок), не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 включение в стоимость работ (услуг) фактически невыполненных либо выполненных не в полном объеме работ;</w:t>
      </w:r>
    </w:p>
    <w:p>
      <w:pPr>
        <w:spacing w:after="60"/>
        <w:ind w:firstLine="567"/>
        <w:jc w:val="both"/>
      </w:pPr>
      <w:r>
        <w:rPr>
          <w:rFonts w:ascii="Arial" w:cs="Arial" w:eastAsia="Arial" w:hAnsi="Arial"/>
          <w:sz w:val="24"/>
          <w:szCs w:val="24"/>
        </w:rPr>
        <w:t xml:space="preserve">4) формирование цен без учета удешевления сырья, материалов и иных технологических изменений;</w:t>
      </w:r>
    </w:p>
    <w:p>
      <w:pPr>
        <w:spacing w:after="60"/>
        <w:ind w:firstLine="567"/>
        <w:jc w:val="both"/>
      </w:pPr>
      <w:r>
        <w:rPr>
          <w:rFonts w:ascii="Arial" w:cs="Arial" w:eastAsia="Arial" w:hAnsi="Arial"/>
          <w:sz w:val="24"/>
          <w:szCs w:val="24"/>
        </w:rPr>
        <w:t xml:space="preserve">5) использование не по назначению средств, вырученных за счет себестоимости работ (услуг), плановых накоплений и рентабельности, согласованных с уполномоченным государственным органом в сфере антимонопольного регулирования при установлении (согласовании) стоимости;</w:t>
      </w:r>
    </w:p>
    <w:p>
      <w:pPr>
        <w:spacing w:after="60"/>
        <w:ind w:firstLine="567"/>
        <w:jc w:val="both"/>
      </w:pPr>
      <w:r>
        <w:rPr>
          <w:rFonts w:ascii="Arial" w:cs="Arial" w:eastAsia="Arial" w:hAnsi="Arial"/>
          <w:sz w:val="24"/>
          <w:szCs w:val="24"/>
        </w:rPr>
        <w:t xml:space="preserve">6) включение в стоимость работ (услуг) расходов, превышающих утвержденные нормы или фактически сложившиеся за последние два года;</w:t>
      </w:r>
    </w:p>
    <w:p>
      <w:pPr>
        <w:spacing w:after="60"/>
        <w:ind w:firstLine="567"/>
        <w:jc w:val="both"/>
      </w:pPr>
      <w:r>
        <w:rPr>
          <w:rFonts w:ascii="Arial" w:cs="Arial" w:eastAsia="Arial" w:hAnsi="Arial"/>
          <w:sz w:val="24"/>
          <w:szCs w:val="24"/>
        </w:rPr>
        <w:t xml:space="preserve">7) экономически необоснованное завышение статей затрат при формировании стоимости;</w:t>
      </w:r>
    </w:p>
    <w:p>
      <w:pPr>
        <w:spacing w:after="60"/>
        <w:ind w:firstLine="567"/>
        <w:jc w:val="both"/>
      </w:pPr>
      <w:r>
        <w:rPr>
          <w:rFonts w:ascii="Arial" w:cs="Arial" w:eastAsia="Arial" w:hAnsi="Arial"/>
          <w:sz w:val="24"/>
          <w:szCs w:val="24"/>
        </w:rPr>
        <w:t xml:space="preserve">8) завышение или занижение удельного веса фактической заработной платы на единицу работ (услуг) по сравнению с объемами, согласованными с уполномоченным государственным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9) непредставление уполномоченному государственному органу в сфере антимонопольного регулирования материалов для установления (согласования) цен либо их представление с нарушением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10) реализация работ (услуг) по ценам, не установленным (не согласованным) с уполномоченным государственным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11) отсутствие раздельного учета затрат, доходов и активов по каждому виду регулируемых работ (услуг).</w:t>
      </w:r>
    </w:p>
    <w:p>
      <w:pPr>
        <w:spacing w:after="60"/>
        <w:ind w:firstLine="567"/>
        <w:jc w:val="both"/>
      </w:pPr>
      <w:r>
        <w:rPr>
          <w:rFonts w:ascii="Arial" w:cs="Arial" w:eastAsia="Arial" w:hAnsi="Arial"/>
          <w:sz w:val="24"/>
          <w:szCs w:val="24"/>
        </w:rPr>
        <w:t xml:space="preserve">40. В случае использования не по назначению средств, формируемых за счет статей затрат за оказанные работы (услуги) в нарушение настоящего Порядка, доход, полученный в результате такого нарушения, подлежит взысканию в республиканский бюджет. Взыскания за нарушения настоящего Порядка применяются в соответствии с законодательством Кыргызской Республики в области антимонопольного регулирования, при этом сумма взыскания не может превышать 25% от суммы денежных средств, использованных не по назначению.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asxrkob0xbpqvyhqvyem">
      <w:r>
        <w:rPr>
          <w:rFonts w:ascii="Arial" w:cs="Arial" w:eastAsia="Arial" w:hAnsi="Arial"/>
          <w:color w:val="132D3F"/>
          <w:sz w:val="16"/>
          <w:szCs w:val="16"/>
          <w:u w:val="single"/>
        </w:rPr>
        <w:t xml:space="preserve">dalil.kg/document/230033365</w:t>
      </w:r>
    </w:hyperlink>
  </w:p>
  <w:p>
    <w:pPr>
      <w:spacing w:after="0" w:before="40"/>
      <w:jc w:val="center"/>
    </w:pPr>
    <w:hyperlink w:history="1" r:id="rIdpwswp0iistwhfrcq7jck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hua6lzqndbm0-ih6iaba" Type="http://schemas.openxmlformats.org/officeDocument/2006/relationships/hyperlink" Target="https://dalil.kg/document/23003336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asxrkob0xbpqvyhqvyem" Type="http://schemas.openxmlformats.org/officeDocument/2006/relationships/hyperlink" Target="https://dalil.kg/document/230033365" TargetMode="External"/><Relationship Id="rIdpwswp0iistwhfrcq7jck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2026-09-27T07:51:32.777Z</dcterms:created>
  <dcterms:modified xsi:type="dcterms:W3CDTF">2026-09-27T07:51:32.777Z</dcterms:modified>
</cp:coreProperties>
</file>

<file path=docProps/custom.xml><?xml version="1.0" encoding="utf-8"?>
<Properties xmlns="http://schemas.openxmlformats.org/officeDocument/2006/custom-properties" xmlns:vt="http://schemas.openxmlformats.org/officeDocument/2006/docPropsVTypes"/>
</file>