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9 октября 2025 года № 651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утверждении Перечня отечественной сельскохозяйственной продукции, в отношении которой производится уплата НДС с уменьшением на 80 процентов до 1 января 2030 года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поддержки агропромышленного комплекса, обеспечения продовольственной безопасности, стимулирования производителей сельскохозяйственной продукции, в соответствии с пунктом 3 части 1 </w:t>
      </w:r>
      <w:hyperlink w:history="1" r:id="rId3ap3hxklj3yxj0klu5q1u">
        <w:r>
          <w:rPr>
            <w:rFonts w:ascii="Arial" w:cs="Arial" w:eastAsia="Arial" w:hAnsi="Arial"/>
            <w:color w:val="1D4ED8"/>
            <w:sz w:val="24"/>
            <w:szCs w:val="24"/>
            <w:u w:val="single"/>
          </w:rPr>
          <w:t xml:space="preserve">статьи 322</w:t>
        </w:r>
      </w:hyperlink>
      <w:r>
        <w:rPr>
          <w:rFonts w:ascii="Arial" w:cs="Arial" w:eastAsia="Arial" w:hAnsi="Arial"/>
          <w:sz w:val="24"/>
          <w:szCs w:val="24"/>
        </w:rPr>
        <w:t xml:space="preserve"> Налогового кодекса Кыргызской Республики, статьями </w:t>
      </w:r>
      <w:hyperlink w:history="1" r:id="rIdgj2juvnhsmhdlllpmj81v">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c67wyqtlfvgtqqfxaup9x">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Утвердить Перечень отечественной сельскохозяйственной продукции, в отношении которой производится уплата НДС с уменьшением на 80 процентов до 1 января 2030 года, согласно </w:t>
      </w:r>
      <w:hyperlink w:history="1" r:id="rIdxrvrfa7lfs70hyxcxe7rn">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Министерству водных ресурсов, сельского хозяйства и перерабатывающей промышленности Кыргызской Республики, Министерству экономики и коммерции Кыргызской Республики и Министерству финансов Кыргызской Республики принять необходимые меры, вытекающие из настоящего постановления.</w:t>
      </w:r>
    </w:p>
    <w:p>
      <w:pPr>
        <w:spacing w:after="120"/>
        <w:ind w:firstLine="567"/>
        <w:jc w:val="both"/>
      </w:pPr>
      <w:r>
        <w:rPr>
          <w:rFonts w:ascii="Arial" w:cs="Arial" w:eastAsia="Arial" w:hAnsi="Arial"/>
          <w:sz w:val="24"/>
          <w:szCs w:val="24"/>
        </w:rPr>
        <w:t xml:space="preserve">3.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200"/>
        <w:ind w:firstLine="709"/>
        <w:jc w:val="both"/>
      </w:pPr>
      <w:r>
        <w:rPr>
          <w:rFonts w:ascii="Arial" w:cs="Arial" w:eastAsia="Arial" w:hAnsi="Arial"/>
          <w:i/>
          <w:iCs/>
          <w:sz w:val="24"/>
          <w:szCs w:val="24"/>
        </w:rPr>
        <w:t xml:space="preserve">Опубликован в официальной государственной газете «Эркин-Тоо» от 14 октября 2025 года № 78 (3734).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 А. 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ПЕРЕЧЕНЬ
 отечественной сельскохозяйственной продукции, в отношении которой производится уплата НДС с уменьшением на 80 процентов до 1 января 2030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
        <w:gridCol w:w="1373"/>
        <w:gridCol w:w="6483"/>
        <w:gridCol w:w="1885"/>
      </w:tblGrid>
      <w:tr>
        <w:tc>
          <w:tcPr>
            <w:tcW w:type="dxa" w:w="4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3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ТН ВЭД</w:t>
            </w:r>
          </w:p>
        </w:tc>
        <w:tc>
          <w:tcPr>
            <w:tcW w:type="dxa" w:w="64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8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Социально значимые товары</w:t>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0201</w:t>
            </w:r>
            <w:r>
              <w:rPr>
                <w:rFonts w:ascii="Arial" w:cs="Arial" w:eastAsia="Arial" w:hAnsi="Arial"/>
                <w:sz w:val="24"/>
                <w:szCs w:val="24"/>
              </w:rPr>
              <w:t xml:space="preserve">0201209008</w:t>
            </w:r>
            <w:r>
              <w:rPr>
                <w:rFonts w:ascii="Arial" w:cs="Arial" w:eastAsia="Arial" w:hAnsi="Arial"/>
                <w:sz w:val="24"/>
                <w:szCs w:val="24"/>
              </w:rPr>
              <w:t xml:space="preserve">0201300008</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 крупного рогатого скота (свежее или охлажденное)</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0204</w:t>
            </w:r>
            <w:r>
              <w:rPr>
                <w:rFonts w:ascii="Arial" w:cs="Arial" w:eastAsia="Arial" w:hAnsi="Arial"/>
                <w:sz w:val="24"/>
                <w:szCs w:val="24"/>
              </w:rPr>
              <w:t xml:space="preserve">0204229000</w:t>
            </w:r>
            <w:r>
              <w:rPr>
                <w:rFonts w:ascii="Arial" w:cs="Arial" w:eastAsia="Arial" w:hAnsi="Arial"/>
                <w:sz w:val="24"/>
                <w:szCs w:val="24"/>
              </w:rPr>
              <w:t xml:space="preserve">0204230000</w:t>
            </w:r>
            <w:r>
              <w:rPr>
                <w:rFonts w:ascii="Arial" w:cs="Arial" w:eastAsia="Arial" w:hAnsi="Arial"/>
                <w:sz w:val="24"/>
                <w:szCs w:val="24"/>
              </w:rPr>
              <w:t xml:space="preserve">0204439000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Баранина и козлятина свежая (охлажденная или замороженная)</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0207</w:t>
            </w:r>
            <w:r>
              <w:rPr>
                <w:rFonts w:ascii="Arial" w:cs="Arial" w:eastAsia="Arial" w:hAnsi="Arial"/>
                <w:sz w:val="24"/>
                <w:szCs w:val="24"/>
              </w:rPr>
              <w:t xml:space="preserve">0207111009</w:t>
            </w:r>
            <w:r>
              <w:rPr>
                <w:rFonts w:ascii="Arial" w:cs="Arial" w:eastAsia="Arial" w:hAnsi="Arial"/>
                <w:sz w:val="24"/>
                <w:szCs w:val="24"/>
              </w:rPr>
              <w:t xml:space="preserve">0207113009</w:t>
            </w:r>
            <w:r>
              <w:rPr>
                <w:rFonts w:ascii="Arial" w:cs="Arial" w:eastAsia="Arial" w:hAnsi="Arial"/>
                <w:sz w:val="24"/>
                <w:szCs w:val="24"/>
              </w:rPr>
              <w:t xml:space="preserve">0207119009</w:t>
            </w:r>
            <w:r>
              <w:rPr>
                <w:rFonts w:ascii="Arial" w:cs="Arial" w:eastAsia="Arial" w:hAnsi="Arial"/>
                <w:sz w:val="24"/>
                <w:szCs w:val="24"/>
              </w:rPr>
              <w:t xml:space="preserve">0207121009</w:t>
            </w:r>
            <w:r>
              <w:rPr>
                <w:rFonts w:ascii="Arial" w:cs="Arial" w:eastAsia="Arial" w:hAnsi="Arial"/>
                <w:sz w:val="24"/>
                <w:szCs w:val="24"/>
              </w:rPr>
              <w:t xml:space="preserve">0207129009</w:t>
            </w:r>
            <w:r>
              <w:rPr>
                <w:rFonts w:ascii="Arial" w:cs="Arial" w:eastAsia="Arial" w:hAnsi="Arial"/>
                <w:sz w:val="24"/>
                <w:szCs w:val="24"/>
              </w:rPr>
              <w:t xml:space="preserve">0207131009</w:t>
            </w:r>
            <w:r>
              <w:rPr>
                <w:rFonts w:ascii="Arial" w:cs="Arial" w:eastAsia="Arial" w:hAnsi="Arial"/>
                <w:sz w:val="24"/>
                <w:szCs w:val="24"/>
              </w:rPr>
              <w:t xml:space="preserve">0207132009</w:t>
            </w:r>
            <w:r>
              <w:rPr>
                <w:rFonts w:ascii="Arial" w:cs="Arial" w:eastAsia="Arial" w:hAnsi="Arial"/>
                <w:sz w:val="24"/>
                <w:szCs w:val="24"/>
              </w:rPr>
              <w:t xml:space="preserve">0207133009</w:t>
            </w:r>
            <w:r>
              <w:rPr>
                <w:rFonts w:ascii="Arial" w:cs="Arial" w:eastAsia="Arial" w:hAnsi="Arial"/>
                <w:sz w:val="24"/>
                <w:szCs w:val="24"/>
              </w:rPr>
              <w:t xml:space="preserve">0207134009</w:t>
            </w:r>
            <w:r>
              <w:rPr>
                <w:rFonts w:ascii="Arial" w:cs="Arial" w:eastAsia="Arial" w:hAnsi="Arial"/>
                <w:sz w:val="24"/>
                <w:szCs w:val="24"/>
              </w:rPr>
              <w:t xml:space="preserve">0207135009</w:t>
            </w:r>
            <w:r>
              <w:rPr>
                <w:rFonts w:ascii="Arial" w:cs="Arial" w:eastAsia="Arial" w:hAnsi="Arial"/>
                <w:sz w:val="24"/>
                <w:szCs w:val="24"/>
              </w:rPr>
              <w:t xml:space="preserve">0207136009</w:t>
            </w:r>
            <w:r>
              <w:rPr>
                <w:rFonts w:ascii="Arial" w:cs="Arial" w:eastAsia="Arial" w:hAnsi="Arial"/>
                <w:sz w:val="24"/>
                <w:szCs w:val="24"/>
              </w:rPr>
              <w:t xml:space="preserve">0207137009</w:t>
            </w:r>
            <w:r>
              <w:rPr>
                <w:rFonts w:ascii="Arial" w:cs="Arial" w:eastAsia="Arial" w:hAnsi="Arial"/>
                <w:sz w:val="24"/>
                <w:szCs w:val="24"/>
              </w:rPr>
              <w:t xml:space="preserve">0207139909</w:t>
            </w:r>
            <w:r>
              <w:rPr>
                <w:rFonts w:ascii="Arial" w:cs="Arial" w:eastAsia="Arial" w:hAnsi="Arial"/>
                <w:sz w:val="24"/>
                <w:szCs w:val="24"/>
              </w:rPr>
              <w:t xml:space="preserve">0207139009</w:t>
            </w:r>
            <w:r>
              <w:rPr>
                <w:rFonts w:ascii="Arial" w:cs="Arial" w:eastAsia="Arial" w:hAnsi="Arial"/>
                <w:sz w:val="24"/>
                <w:szCs w:val="24"/>
              </w:rPr>
              <w:t xml:space="preserve">0207141009</w:t>
            </w:r>
            <w:r>
              <w:rPr>
                <w:rFonts w:ascii="Arial" w:cs="Arial" w:eastAsia="Arial" w:hAnsi="Arial"/>
                <w:sz w:val="24"/>
                <w:szCs w:val="24"/>
              </w:rPr>
              <w:t xml:space="preserve">0207142009</w:t>
            </w:r>
            <w:r>
              <w:rPr>
                <w:rFonts w:ascii="Arial" w:cs="Arial" w:eastAsia="Arial" w:hAnsi="Arial"/>
                <w:sz w:val="24"/>
                <w:szCs w:val="24"/>
              </w:rPr>
              <w:t xml:space="preserve">0207143009</w:t>
            </w:r>
            <w:r>
              <w:rPr>
                <w:rFonts w:ascii="Arial" w:cs="Arial" w:eastAsia="Arial" w:hAnsi="Arial"/>
                <w:sz w:val="24"/>
                <w:szCs w:val="24"/>
              </w:rPr>
              <w:t xml:space="preserve">0207144009</w:t>
            </w:r>
            <w:r>
              <w:rPr>
                <w:rFonts w:ascii="Arial" w:cs="Arial" w:eastAsia="Arial" w:hAnsi="Arial"/>
                <w:sz w:val="24"/>
                <w:szCs w:val="24"/>
              </w:rPr>
              <w:t xml:space="preserve">0207145009</w:t>
            </w:r>
            <w:r>
              <w:rPr>
                <w:rFonts w:ascii="Arial" w:cs="Arial" w:eastAsia="Arial" w:hAnsi="Arial"/>
                <w:sz w:val="24"/>
                <w:szCs w:val="24"/>
              </w:rPr>
              <w:t xml:space="preserve">0207146009</w:t>
            </w:r>
            <w:r>
              <w:rPr>
                <w:rFonts w:ascii="Arial" w:cs="Arial" w:eastAsia="Arial" w:hAnsi="Arial"/>
                <w:sz w:val="24"/>
                <w:szCs w:val="24"/>
              </w:rPr>
              <w:t xml:space="preserve">0207149909</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 и пищевые субпродукты домашней птицы (свежие, охлажденные или замороженные)</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0302118000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Рыба (свежая, охлажденная)</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0303149000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Рыба замороженная</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0407210000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Яйцо куриное</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0407299000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Яйцо перепелиное</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w:t>
            </w:r>
            <w:r>
              <w:rPr>
                <w:rFonts w:ascii="Arial" w:cs="Arial" w:eastAsia="Arial" w:hAnsi="Arial"/>
                <w:sz w:val="24"/>
                <w:szCs w:val="24"/>
              </w:rPr>
              <w:t xml:space="preserve">1512199002</w:t>
            </w:r>
            <w:r>
              <w:rPr>
                <w:rFonts w:ascii="Arial" w:cs="Arial" w:eastAsia="Arial" w:hAnsi="Arial"/>
                <w:sz w:val="24"/>
                <w:szCs w:val="24"/>
              </w:rPr>
              <w:t xml:space="preserve">1512199003</w:t>
            </w:r>
            <w:r>
              <w:rPr>
                <w:rFonts w:ascii="Arial" w:cs="Arial" w:eastAsia="Arial" w:hAnsi="Arial"/>
                <w:sz w:val="24"/>
                <w:szCs w:val="24"/>
              </w:rPr>
              <w:t xml:space="preserve">1512219000</w:t>
            </w:r>
            <w:r>
              <w:rPr>
                <w:rFonts w:ascii="Arial" w:cs="Arial" w:eastAsia="Arial" w:hAnsi="Arial"/>
                <w:sz w:val="24"/>
                <w:szCs w:val="24"/>
              </w:rPr>
              <w:t xml:space="preserve">1512119109</w:t>
            </w:r>
            <w:r>
              <w:rPr>
                <w:rFonts w:ascii="Arial" w:cs="Arial" w:eastAsia="Arial" w:hAnsi="Arial"/>
                <w:sz w:val="24"/>
                <w:szCs w:val="24"/>
              </w:rPr>
              <w:t xml:space="preserve">1512119101</w:t>
            </w:r>
            <w:r>
              <w:rPr>
                <w:rFonts w:ascii="Arial" w:cs="Arial" w:eastAsia="Arial" w:hAnsi="Arial"/>
                <w:sz w:val="24"/>
                <w:szCs w:val="24"/>
              </w:rPr>
              <w:t xml:space="preserve">1512119909</w:t>
            </w:r>
            <w:r>
              <w:rPr>
                <w:rFonts w:ascii="Arial" w:cs="Arial" w:eastAsia="Arial" w:hAnsi="Arial"/>
                <w:sz w:val="24"/>
                <w:szCs w:val="24"/>
              </w:rPr>
              <w:t xml:space="preserve">1512199009</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сафлоровое, подсолнечное и хлопковое, а также их фракции (рафинированные, готовые к употреблению)</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0701909000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0713339000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Фасоль</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Сельскохозяйственная продукция</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Овощные культуры открытого и закрытого грунта</w:t>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0704901001</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белокочанная</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0704100000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цветная и брокколи</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0707000506</w:t>
            </w:r>
            <w:r>
              <w:rPr>
                <w:rFonts w:ascii="Arial" w:cs="Arial" w:eastAsia="Arial" w:hAnsi="Arial"/>
                <w:sz w:val="24"/>
                <w:szCs w:val="24"/>
              </w:rPr>
              <w:t xml:space="preserve">(по сезону)</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Огурец</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0709300000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Баклажан</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0702000005</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Томат (помидор)</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0709931000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Кабачок</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0703900000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Зелень</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0709939000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Тыква</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0706100001</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Морковь столовая</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0703200000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Чеснок</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0703101900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репчатый</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0706909001</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Свекла столовая</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Плодовые, ягодные культуры и виноградники</w:t>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0706909009</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аналогичные съедобные корнеплоды (свежие или охлажденные)</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0807110000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Арбуз</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0808108006</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Яблоко</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0809100000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Абрикос</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0809290000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Вишня</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0809309000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Персик</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080940</w:t>
            </w:r>
            <w:r>
              <w:rPr>
                <w:rFonts w:ascii="Arial" w:cs="Arial" w:eastAsia="Arial" w:hAnsi="Arial"/>
                <w:sz w:val="24"/>
                <w:szCs w:val="24"/>
              </w:rPr>
              <w:t xml:space="preserve">0809400500</w:t>
            </w:r>
            <w:r>
              <w:rPr>
                <w:rFonts w:ascii="Arial" w:cs="Arial" w:eastAsia="Arial" w:hAnsi="Arial"/>
                <w:sz w:val="24"/>
                <w:szCs w:val="24"/>
              </w:rPr>
              <w:t xml:space="preserve">0809409000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Слива</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0809290000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Черешня</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0810201000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Малина</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0810100000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Земляника (клубника)</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1006309400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 шелушенный</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Баткенский, узгенский</w:t>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0802310000</w:t>
            </w:r>
            <w:r>
              <w:rPr>
                <w:rFonts w:ascii="Arial" w:cs="Arial" w:eastAsia="Arial" w:hAnsi="Arial"/>
                <w:sz w:val="24"/>
                <w:szCs w:val="24"/>
              </w:rPr>
              <w:t xml:space="preserve">0802320000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Орех грецкий</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0409000000</w:t>
            </w:r>
          </w:p>
        </w:tc>
        <w:tc>
          <w:tcPr>
            <w:tcW w:type="dxa" w:w="6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 натуральный пчелиный</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Примечание. Для классификации мяса в рамках внутреннего рынка Кыргызской Республики выбраны коды ТН ВЭД на уровне 4 знаков (0201 для говядины, 0204 для баранины и козлятины, 0207 для мяса птицы) как базовая категория с указанием соответствующих 10-значных кодов, обозначающих "прочие" отрубы и части. Это обусловлено следующим:</w:t>
      </w:r>
    </w:p>
    <w:p>
      <w:pPr>
        <w:spacing w:after="120"/>
        <w:ind w:firstLine="567"/>
        <w:jc w:val="both"/>
      </w:pPr>
      <w:r>
        <w:rPr>
          <w:rFonts w:ascii="Arial" w:cs="Arial" w:eastAsia="Arial" w:hAnsi="Arial"/>
          <w:sz w:val="24"/>
          <w:szCs w:val="24"/>
        </w:rPr>
        <w:t xml:space="preserve">- для говядины (0201): уровень 4 знаков (0201) применен как общая группа для свежего или охлажденного мяса крупного рогатого скота, поскольку товар представляет собой разрезанные отрубы с костями и жиром, а также вырезку. Остальные коды ТН ВЭД (например, 0201 20 10 для лопаток, 0201 20 30 для передних четвертин, 0201 20 50 для задних четвертин) не подходят, так как требуют сохранности анатомической структуры крупных отрубов (с 4-10 ребрами для передних, 3+ для задних), что не соответствует мелкой нарезке и вырезке для торговых сетей. В перечне сельхозпродукции 10-значные коды определены для детализации, и наиболее подходящим является код 0201 20 90 08 (прочие отрубы с костью), охватывающий ассортимент;</w:t>
      </w:r>
    </w:p>
    <w:p>
      <w:pPr>
        <w:spacing w:after="120"/>
        <w:ind w:firstLine="567"/>
        <w:jc w:val="both"/>
      </w:pPr>
      <w:r>
        <w:rPr>
          <w:rFonts w:ascii="Arial" w:cs="Arial" w:eastAsia="Arial" w:hAnsi="Arial"/>
          <w:sz w:val="24"/>
          <w:szCs w:val="24"/>
        </w:rPr>
        <w:t xml:space="preserve">- для баранины и козлятины (0204): уровень 4 знаков (0204) выбран как общая группа для свежего или охлажденного мяса овец и коз, разрезанного на отрубы с костями и жиром, а также вырезку. Остальные коды (например, 0204 22 10 для передних четвертин, 0204 22 50 для тазобедренных частей) неприменимы в связи с требованиями к целостности анатомических отрубов, не соответствующих мелкой нарезке и вырезке. В перечне сельхозпродукции 10-значный код 0204 22 90 08 (прочие отрубы с костью для баранины) и код 0204 50 39 08 (для козлятины) выбраны как "прочие", наиболее подходящие для смешанного ассортимента;</w:t>
      </w:r>
    </w:p>
    <w:p>
      <w:pPr>
        <w:spacing w:after="120"/>
        <w:ind w:firstLine="567"/>
        <w:jc w:val="both"/>
      </w:pPr>
      <w:r>
        <w:rPr>
          <w:rFonts w:ascii="Arial" w:cs="Arial" w:eastAsia="Arial" w:hAnsi="Arial"/>
          <w:sz w:val="24"/>
          <w:szCs w:val="24"/>
        </w:rPr>
        <w:t xml:space="preserve">- для мяса птицы (0207): уровень 4 знаков (0207) применен как общая группа для свежего или охлажденного мяса домашней птицы, поскольку товар состоит из мелко нарезанных кусков с костями и жиром, включая отдельно продаваемые ножки и крылья, а также большую разновидность других частей (грудка, окорочка и т.д.). Остальные коды (например, 0207 12 10 для половин/четвертин, 0207 13 30 для крыльев, 0207 13 60 для ножек) не подходят, так как предполагают целостность конкретных частей, а не разнообразный ассортимент мелкой нарезки. В перечне сельхозпродукции 10-значный код 0207 12 90 08 (прочие полутуши и отрубы) или код 0207 13 90 08 (прочие необваленные части) выбран как "прочие", отражающий широкий ассортимент для торговых сетей.</w:t>
      </w:r>
    </w:p>
    <w:p>
      <w:pPr>
        <w:spacing w:after="120"/>
        <w:ind w:firstLine="567"/>
        <w:jc w:val="both"/>
      </w:pPr>
      <w:r>
        <w:rPr>
          <w:rFonts w:ascii="Arial" w:cs="Arial" w:eastAsia="Arial" w:hAnsi="Arial"/>
          <w:sz w:val="24"/>
          <w:szCs w:val="24"/>
        </w:rPr>
        <w:t xml:space="preserve">Таким образом, 4-значные коды выбраны как обобщающая категория для учета всего ассортимента свежего/охлажденного необваленного мяса, а 10-значные коды с "прочие" (заканчивающиеся на 08) применены для соответствия детализации перечня сельхозпродукции специфике мелко нарезанных кусков, вырезки и разнообразных частей, не соответствующих строгим анатомическим отрубам.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eweuejhvtcin_fxkr3ic">
      <w:r>
        <w:rPr>
          <w:rFonts w:ascii="Arial" w:cs="Arial" w:eastAsia="Arial" w:hAnsi="Arial"/>
          <w:color w:val="132D3F"/>
          <w:sz w:val="16"/>
          <w:szCs w:val="16"/>
          <w:u w:val="single"/>
        </w:rPr>
        <w:t xml:space="preserve">dalil.kg/document/230033517</w:t>
      </w:r>
    </w:hyperlink>
  </w:p>
  <w:p>
    <w:pPr>
      <w:spacing w:after="0" w:before="40"/>
      <w:jc w:val="center"/>
    </w:pPr>
    <w:hyperlink w:history="1" r:id="rIdkzheyj2qrdxeo6jl4h8p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ap3hxklj3yxj0klu5q1u" Type="http://schemas.openxmlformats.org/officeDocument/2006/relationships/hyperlink" Target="https://dalil.kg/document/112340#st_322" TargetMode="External"/><Relationship Id="rIdgj2juvnhsmhdlllpmj81v" Type="http://schemas.openxmlformats.org/officeDocument/2006/relationships/hyperlink" Target="https://dalil.kg/document/112301#st_13" TargetMode="External"/><Relationship Id="rIdc67wyqtlfvgtqqfxaup9x" Type="http://schemas.openxmlformats.org/officeDocument/2006/relationships/hyperlink" Target="https://dalil.kg/document/112301#st_17" TargetMode="External"/><Relationship Id="rIdxrvrfa7lfs70hyxcxe7rn" Type="http://schemas.openxmlformats.org/officeDocument/2006/relationships/hyperlink" Target="https://dalil.kg/document/230033517#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eweuejhvtcin_fxkr3ic" Type="http://schemas.openxmlformats.org/officeDocument/2006/relationships/hyperlink" Target="https://dalil.kg/document/230033517" TargetMode="External"/><Relationship Id="rIdkzheyj2qrdxeo6jl4h8p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2026-09-27T08:16:51.293Z</dcterms:created>
  <dcterms:modified xsi:type="dcterms:W3CDTF">2026-09-27T08:16:51.293Z</dcterms:modified>
</cp:coreProperties>
</file>

<file path=docProps/custom.xml><?xml version="1.0" encoding="utf-8"?>
<Properties xmlns="http://schemas.openxmlformats.org/officeDocument/2006/custom-properties" xmlns:vt="http://schemas.openxmlformats.org/officeDocument/2006/docPropsVTypes"/>
</file>