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акты Кыргызской Республики (в Уголовный кодекс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Кодекс Кыргызской Республики о правонарушениях)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eusik1opcqiabfcfqo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rua5ocaywpfeglec-bi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ljc6lxuv7gm8tnhfx7q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Передача мобильных и иных средств связи лицу, содержащемуся в учреждении уголовно-исполнительной системы или следственном изоляторе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либо попытка передачи любым способом лицу, содержащемуся в учреждении уголовно-исполнительной системы или следственном изоляторе, мобильных и иных средств связи, используемых для передачи данных, совершенная лицом, ранее совершившим правонарушение, предусмотренное частью 2 </w:t>
      </w:r>
      <w:hyperlink w:history="1" r:id="rIdtxaooneeep1gxoctcx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500 до 1000 расчетных показателей либо общественными работами от пятидесяти до двухсот часов или лишением свободы от двух до пяти лет.».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1sg-qozk1lnk-wwsv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3 </w:t>
      </w:r>
      <w:hyperlink w:history="1" r:id="rIdztdthrughfir-2kd1-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xz1zp11npc8qyifans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syh4i8qg11s1ym12n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9fjp6cdgugvflrzefp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o9uoznrj7ycqfbmw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qy38jm5ytzz8f3c3_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446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g6lqjs3wbuiycgifq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_xnjvt2zn22kpdurrh3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446</w:t>
        </w:r>
      </w:hyperlink>
      <w:r>
        <w:rPr>
          <w:rFonts w:ascii="Arial" w:cs="Arial" w:eastAsia="Arial" w:hAnsi="Arial"/>
          <w:sz w:val="24"/>
          <w:szCs w:val="24"/>
        </w:rPr>
        <w:t xml:space="preserve">. Передача запрещенных предметов лицу, содержащемуся в учреждении уголовно-исполнительной системы или следственном изоляторе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либо попытка передачи любым способом лицу, содержащемуся в учреждении уголовно-исполнительной системы или следственном изоляторе, предметов, веществ или продуктов питания, приобретение, хранение или использование которых указанным лицом запрещено законом, за исключением случаев, предусмотренных частью 2 настоящей статьи,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 с временным изъятием запрещенных предметов, веществ или продуктов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либо попытка передачи любым способом лицу, содержащемуся в учреждении уголовно-исполнительной системы или следственном изоляторе, мобильных и иных средств связи, используемых для передачи данных, если эти действия не содержат признаков деяний, за которые предусмотрена уголовная ответственность,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300 расчетных показателей с временным изъятием предмета правонарушения.».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sik1opcqiabfcfqojef" Type="http://schemas.openxmlformats.org/officeDocument/2006/relationships/hyperlink" Target="http://kodeks.duckdns.org/document/112309" TargetMode="External"/><Relationship Id="rIdrua5ocaywpfeglec-bi3x" Type="http://schemas.openxmlformats.org/officeDocument/2006/relationships/hyperlink" Target="http://kodeks.duckdns.org/document/112309#st_371_1" TargetMode="External"/><Relationship Id="rIdljc6lxuv7gm8tnhfx7qk4" Type="http://schemas.openxmlformats.org/officeDocument/2006/relationships/hyperlink" Target="http://kodeks.duckdns.org/document/112309#st_371_1" TargetMode="External"/><Relationship Id="rIdtxaooneeep1gxoctcxhsb" Type="http://schemas.openxmlformats.org/officeDocument/2006/relationships/hyperlink" Target="http://kodeks.duckdns.org/document/112306#st_446" TargetMode="External"/><Relationship Id="rIdb1sg-qozk1lnk-wwsvlxm" Type="http://schemas.openxmlformats.org/officeDocument/2006/relationships/hyperlink" Target="http://kodeks.duckdns.org/document/112306" TargetMode="External"/><Relationship Id="rIdztdthrughfir-2kd1-tfs" Type="http://schemas.openxmlformats.org/officeDocument/2006/relationships/hyperlink" Target="http://kodeks.duckdns.org/document/112306#st_31" TargetMode="External"/><Relationship Id="rIdxz1zp11npc8qyifans7jg" Type="http://schemas.openxmlformats.org/officeDocument/2006/relationships/hyperlink" Target="http://kodeks.duckdns.org/document/112306#st_413_2" TargetMode="External"/><Relationship Id="rId6syh4i8qg11s1ym12njsh" Type="http://schemas.openxmlformats.org/officeDocument/2006/relationships/hyperlink" Target="http://kodeks.duckdns.org/document/112306#st_413_3" TargetMode="External"/><Relationship Id="rId9fjp6cdgugvflrzefpprg" Type="http://schemas.openxmlformats.org/officeDocument/2006/relationships/hyperlink" Target="http://kodeks.duckdns.org/document/112306#st_413_2" TargetMode="External"/><Relationship Id="rId6do9uoznrj7ycqfbmwhra" Type="http://schemas.openxmlformats.org/officeDocument/2006/relationships/hyperlink" Target="http://kodeks.duckdns.org/document/112306#st_413_3" TargetMode="External"/><Relationship Id="rIdvqy38jm5ytzz8f3c3_dtm" Type="http://schemas.openxmlformats.org/officeDocument/2006/relationships/hyperlink" Target="http://kodeks.duckdns.org/document/112306#st_446" TargetMode="External"/><Relationship Id="rIdqg6lqjs3wbuiycgifqlox" Type="http://schemas.openxmlformats.org/officeDocument/2006/relationships/hyperlink" Target="http://kodeks.duckdns.org/document/112306" TargetMode="External"/><Relationship Id="rId_xnjvt2zn22kpdurrh3a3" Type="http://schemas.openxmlformats.org/officeDocument/2006/relationships/hyperlink" Target="http://kodeks.duckdns.org/document/112306#st_44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2026-09-23T02:13:59.005Z</dcterms:created>
  <dcterms:modified xsi:type="dcterms:W3CDTF">2026-09-23T02:13:59.005Z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