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октября 2025 года № 2025-П-14/57-2-(ПС)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нормативные правовые акты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и масштабирования платежей посредством QR-кодов в торгово-сервисных предприятиях, государственных и муниципальных учреждениях, руководствуясь статьями </w:t>
      </w:r>
      <w:hyperlink w:history="1" r:id="rIdfujvvbqi2x0bkkcy5kj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magciid9lmfvcp2vg-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dgwftgyyvohnlssq3k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Республики", Правление Национального банка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Правил</w:t>
      </w:r>
      <w:r>
        <w:rPr>
          <w:rFonts w:ascii="Arial" w:cs="Arial" w:eastAsia="Arial" w:hAnsi="Arial"/>
          <w:sz w:val="24"/>
          <w:szCs w:val="24"/>
        </w:rPr>
        <w:t xml:space="preserve"> проведения платежей и переводов с использованием двухмерных символов штрихкода (QR-код)" от 11 декабря 2019 года № 2019-П-14/62-5-(ПС) (</w:t>
      </w:r>
      <w:hyperlink w:history="1" r:id="rIdkhqk9a0et1yy9zky33b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прилагаются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Подпункт 2 пункта 3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Правил</w:t>
      </w:r>
      <w:r>
        <w:rPr>
          <w:rFonts w:ascii="Arial" w:cs="Arial" w:eastAsia="Arial" w:hAnsi="Arial"/>
          <w:sz w:val="24"/>
          <w:szCs w:val="24"/>
        </w:rPr>
        <w:t xml:space="preserve"> проведения платежей и переводов с использованием двухмерных символов штрихкода (QR-код)" от 11 декабря 2019 года № 2019-П-14/62-5-(ПС)" от 24 мая 2023 года № 2023-П-14/34-3-(ПС)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(пятнадцати)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управлению: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дня получения соответствующих документов в течение 3 (трех) рабочих дней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"Секретариат Правления" в течение 3 (трех) рабочих дней довести настоящее постановление до сведения управления цифровых финансовых технологий, управления надзора за платежными системами, юридического управления,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цифровых финансовых технологий после официального опубликования в течение 3 (трех) рабочих дней довести настоящее постановление до сведения ОЮЛ "Союз банков Кыргызстана", коммерческих банков Кыргызской Республики, ОЮЛ "Ассоциация операторов платежных систем KG", платежных организаций и операторов платежных систем.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члена Правления Национального банка Кыргызской Республики, курирующего управление цифровых финансовых технологий.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Тургунбаев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Правления Национального банка Кыргызской Республики
 от 29 октября 2025 года № 2025-П-14/57-2-(ПС)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
 в постановление Правления Национального банка Кыргызской Республики "Об утверждении Правил проведения платежей и переводов с использованием двухмерных символов штрихкода (QR-код)" от 11 декабря 2019 года № 2019-П-14/62-5-(ПС)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Правил</w:t>
      </w:r>
      <w:r>
        <w:rPr>
          <w:rFonts w:ascii="Arial" w:cs="Arial" w:eastAsia="Arial" w:hAnsi="Arial"/>
          <w:sz w:val="24"/>
          <w:szCs w:val="24"/>
        </w:rPr>
        <w:t xml:space="preserve"> проведения платежей и переводов с использованием двухмерных символов штрихкода (QR-код)" от 11 декабря 2019 года № 2019-П-14/62-5-(ПС)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</w:t>
      </w:r>
      <w:r>
        <w:rPr>
          <w:rFonts w:ascii="Arial" w:cs="Arial" w:eastAsia="Arial" w:hAnsi="Arial"/>
          <w:sz w:val="24"/>
          <w:szCs w:val="24"/>
        </w:rPr>
        <w:t xml:space="preserve"> проведения платежей и переводов с использованием двухмерных символов штрихкода (QR-код), утвержденные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39-2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"39-2. Участники платежных систем должны ежемесячно, не позднее 5 (пятого) числа месяца, следующего за отчетным месяцем, в электронном виде предоставлять в Национальный банк отчеты по субъектам, принимающим оплату за товары/услуги с использованием QR-кода, и о количестве установленных QR-кодов в разбивке по регионам в соответствии с приложениями 5 и 6 к настоящим Правилам.";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приложениями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5
 </w:t>
      </w:r>
      <w:r>
        <w:rPr>
          <w:rFonts w:ascii="Arial" w:cs="Arial" w:eastAsia="Arial" w:hAnsi="Arial"/>
          <w:sz w:val="24"/>
          <w:szCs w:val="24"/>
        </w:rPr>
        <w:t xml:space="preserve">к Правилам проведения платежей и переводов с использованием двухмерных символов штрихкода (QR-код)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о субъектах, принимающих оплату за товары/услуги с использованием QR-кода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0"/>
        <w:gridCol w:w="1153"/>
        <w:gridCol w:w="1020"/>
        <w:gridCol w:w="996"/>
        <w:gridCol w:w="996"/>
        <w:gridCol w:w="996"/>
        <w:gridCol w:w="996"/>
        <w:gridCol w:w="996"/>
        <w:gridCol w:w="996"/>
        <w:gridCol w:w="906"/>
        <w:gridCol w:w="866"/>
      </w:tblGrid>
      <w:tr>
        <w:tc>
          <w:tcPr>
            <w:tcW w:type="dxa" w:w="26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15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Фирменное наименование субъекта, в котором имеется возможность произвести оплату с использованием QR-кода (ТСП, организации и т.д.)</w:t>
            </w:r>
          </w:p>
        </w:tc>
        <w:tc>
          <w:tcPr>
            <w:tcW w:type="dxa" w:w="102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торговой точки/объекта обслуживания (если отличается от фирменного)</w:t>
            </w:r>
          </w:p>
        </w:tc>
        <w:tc>
          <w:tcPr>
            <w:tcW w:type="dxa" w:w="5976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Месторасположение субъекта</w:t>
            </w:r>
          </w:p>
        </w:tc>
        <w:tc>
          <w:tcPr>
            <w:tcW w:type="dxa" w:w="90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QR-кода</w:t>
            </w:r>
          </w:p>
        </w:tc>
        <w:tc>
          <w:tcPr>
            <w:tcW w:type="dxa" w:w="8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установки QR-кода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субъекта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Область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Айыльный аймак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Город, пгт, село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Улица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2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Указывается фирменное наименование субъекта, в котором установлен QR-код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Указывается наименование торговой точки/объекта обслуживания, в случае если оно отличается от фирменного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Указывается организационно-правовая форма субъекта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Указывается наименование области КР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Указывается наименование района области КР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Указывается наименование айыльного аймака района области КР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Указывается наименование города, районных центров, пгт, села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Указывается наименование улицы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Указывается вид QR-кода (статичный, динамичный) и количество по каждому из видов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Указывается дата фактической установки QR-кода для приема оплаты за товары и услуги в ТСП</w:t>
            </w:r>
          </w:p>
        </w:tc>
      </w:tr>
      <w:tr>
        <w:tc>
          <w:tcPr>
            <w:tcW w:type="dxa" w:w="2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0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Исполнитель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указать ФИО ответственного за подготовку сведений, должность,
 отдел/управление, 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указать ФИО начальника управления, ответственного
 за подготовку сведений, подпись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
 </w:t>
      </w:r>
      <w:r>
        <w:rPr>
          <w:rFonts w:ascii="Arial" w:cs="Arial" w:eastAsia="Arial" w:hAnsi="Arial"/>
          <w:sz w:val="24"/>
          <w:szCs w:val="24"/>
        </w:rPr>
        <w:t xml:space="preserve">к Правилам проведения платежей и переводов с использованием двухмерных символов штрихкода (QR-код)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участника платежных систем 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_______________ месяц 20__ год.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о количестве установленных QR-кодов в разбивке по регионам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35"/>
        <w:gridCol w:w="2851"/>
        <w:gridCol w:w="4323"/>
        <w:gridCol w:w="1070"/>
      </w:tblGrid>
      <w:tr>
        <w:tc>
          <w:tcPr>
            <w:tcW w:type="dxa" w:w="19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области</w:t>
            </w:r>
          </w:p>
        </w:tc>
        <w:tc>
          <w:tcPr>
            <w:tcW w:type="dxa" w:w="28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установленных QR-кодов</w:t>
            </w:r>
          </w:p>
        </w:tc>
        <w:tc>
          <w:tcPr>
            <w:tcW w:type="dxa" w:w="43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них в государственных и муниципальных учреждениях</w:t>
            </w:r>
          </w:p>
        </w:tc>
        <w:tc>
          <w:tcPr>
            <w:tcW w:type="dxa" w:w="10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них в ТСП</w:t>
            </w:r>
          </w:p>
        </w:tc>
      </w:tr>
      <w:tr>
        <w:tc>
          <w:tcPr>
            <w:tcW w:type="dxa" w:w="1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</w:t>
            </w:r>
          </w:p>
        </w:tc>
        <w:tc>
          <w:tcPr>
            <w:tcW w:type="dxa" w:w="2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2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2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2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2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2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2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2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Исполнитель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указать ФИО ответственного за подготовку сведений, должность,
 отдел/управление, 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указать ФИО начальника управления, ответственного
 за подготовку сведений, подпись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kak5sadfmyvfaukacn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dalil.kg/document/230034092</w:t>
      </w:r>
    </w:hyperlink>
  </w:p>
  <w:p>
    <w:pPr>
      <w:spacing w:after="0" w:before="40"/>
      <w:jc w:val="center"/>
    </w:pPr>
    <w:hyperlink w:history="1" r:id="rIdaaa6fdlhcrjbv1poxiw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jvvbqi2x0bkkcy5kjrg" Type="http://schemas.openxmlformats.org/officeDocument/2006/relationships/hyperlink" Target="https://dalil.kg/document/112424#st_5" TargetMode="External"/><Relationship Id="rId1magciid9lmfvcp2vg-eq" Type="http://schemas.openxmlformats.org/officeDocument/2006/relationships/hyperlink" Target="https://dalil.kg/document/112424#st_9" TargetMode="External"/><Relationship Id="rIdodgwftgyyvohnlssq3kel" Type="http://schemas.openxmlformats.org/officeDocument/2006/relationships/hyperlink" Target="https://dalil.kg/document/112424#st_64" TargetMode="External"/><Relationship Id="rIdkhqk9a0et1yy9zky33bs9" Type="http://schemas.openxmlformats.org/officeDocument/2006/relationships/hyperlink" Target="https://dalil.kg/document/230034092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kak5sadfmyvfaukacnlc" Type="http://schemas.openxmlformats.org/officeDocument/2006/relationships/hyperlink" Target="https://dalil.kg/document/230034092" TargetMode="External"/><Relationship Id="rIdaaa6fdlhcrjbv1poxiw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2026-09-27T07:37:38.955Z</dcterms:created>
  <dcterms:modified xsi:type="dcterms:W3CDTF">2026-09-27T07:37:38.955Z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