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13 ноября 2024 года № 589</w:t>
      </w:r>
    </w:p>
    <w:p>
      <w:pPr>
        <w:spacing w:after="200" w:before="20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hyperlink w:history="1" r:id="rIdeedi_fqwanvydwa666yxh">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Одобрить прилагаемое </w:t>
      </w:r>
      <w:hyperlink w:history="1" r:id="rIdgychlnl2oavty-qsblbm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Налоговый </w:t>
      </w:r>
      <w:hyperlink w:history="1" r:id="rIdvv_j3ttdhfntokrxsfva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izowraomvyjapfd7iim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инициированный депутатами Жогорку Кенеша Кыргызской Республики Абдалиевым М.А., Ташиевым Ш.К., Талиевой К.А. и другими.</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Налоговый кодекс Кыргызской Республики, Закон Кыргызской Республики "О свободных экономических зонах в Кыргызской Республике")"</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pg9repnnw_re5vwscg2pz">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(Налоговый </w:t>
      </w:r>
      <w:hyperlink w:history="1" r:id="rId9vtcovfrntdqptj00neu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20i0ycr_lmhy68a5uw-e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(далее - законопроект), инициированный депутатами Жогорку Кенеша Кыргызской Республики Абдалиевым М.А.,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 Ж., Султанбековой Ч.А., Сарыбашевым Т.Н., Тентишевым Б.Э., Сыдыковым М.Ж., Т</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баевым Б.З., Масабировым Т.А., Кадырбековым Н.К., Исираиловым А.А., Икрамовым Т.И., Т</w:t>
      </w:r>
      <w:r>
        <w:rPr>
          <w:rFonts w:ascii="Arial" w:cs="Arial" w:eastAsia="Arial" w:hAnsi="Arial"/>
          <w:sz w:val="24"/>
          <w:szCs w:val="24"/>
        </w:rPr>
        <w:t xml:space="preserve">ү</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нбаевым А.Т., Нурбаевым Ж.П., Эргешовым Б.А., Кубанычбековым И.К., приходит к следующему заключению.</w:t>
      </w:r>
    </w:p>
    <w:p>
      <w:pPr>
        <w:spacing w:after="60"/>
        <w:ind w:firstLine="567"/>
        <w:jc w:val="both"/>
      </w:pPr>
      <w:r>
        <w:rPr>
          <w:rFonts w:ascii="Arial" w:cs="Arial" w:eastAsia="Arial" w:hAnsi="Arial"/>
          <w:sz w:val="24"/>
          <w:szCs w:val="24"/>
        </w:rPr>
        <w:t xml:space="preserve">1. В наименовании законопроекта на государственном языке необходимо исключить слова "</w:t>
      </w:r>
      <w:hyperlink w:history="1" r:id="rIdewduje2nuk-w_fi8ssys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поскольку вышеназванным законопроектом не предусматривается внесение изменений в указанный </w:t>
      </w:r>
      <w:hyperlink w:history="1" r:id="rIdzjof1kx1zf2u8xvhmsr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Законопроект предусматривает внесение изменений в Налоговый </w:t>
      </w:r>
      <w:hyperlink w:history="1" r:id="rIdahd3bjid-kuaep62f3et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Налоговый кодекс) в части дополнения </w:t>
      </w:r>
      <w:hyperlink w:history="1" r:id="rIdvc516s0uw2hxpkarwrb8q">
        <w:r>
          <w:rPr>
            <w:rFonts w:ascii="Arial" w:cs="Arial" w:eastAsia="Arial" w:hAnsi="Arial"/>
            <w:color w:val="1D4ED8"/>
            <w:sz w:val="24"/>
            <w:szCs w:val="24"/>
            <w:u w:val="single"/>
          </w:rPr>
          <w:t xml:space="preserve">статьи 249</w:t>
        </w:r>
      </w:hyperlink>
      <w:r>
        <w:rPr>
          <w:rFonts w:ascii="Arial" w:cs="Arial" w:eastAsia="Arial" w:hAnsi="Arial"/>
          <w:sz w:val="24"/>
          <w:szCs w:val="24"/>
        </w:rPr>
        <w:t xml:space="preserve"> пунктом 1, предусматривающим ставку налога на доходы, выплачиваемые субъектами СЭЗ "Международный финансовый центр Джалал-Абад" - 0 процентов.</w:t>
      </w:r>
    </w:p>
    <w:p>
      <w:pPr>
        <w:spacing w:after="60"/>
        <w:ind w:firstLine="567"/>
        <w:jc w:val="both"/>
      </w:pPr>
      <w:r>
        <w:rPr>
          <w:rFonts w:ascii="Arial" w:cs="Arial" w:eastAsia="Arial" w:hAnsi="Arial"/>
          <w:sz w:val="24"/>
          <w:szCs w:val="24"/>
        </w:rPr>
        <w:t xml:space="preserve">В соответствии со </w:t>
      </w:r>
      <w:hyperlink w:history="1" r:id="rIdl2n5u9esh9vu4me0sjdso">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Налогового кодекса налоговые льготы должны быть направлены на достижение следующих целей:</w:t>
      </w:r>
    </w:p>
    <w:p>
      <w:pPr>
        <w:spacing w:after="60"/>
        <w:ind w:firstLine="567"/>
        <w:jc w:val="both"/>
      </w:pPr>
      <w:r>
        <w:rPr>
          <w:rFonts w:ascii="Arial" w:cs="Arial" w:eastAsia="Arial" w:hAnsi="Arial"/>
          <w:sz w:val="24"/>
          <w:szCs w:val="24"/>
        </w:rPr>
        <w:t xml:space="preserve">1) стимулирование устойчивого развития экономики Кыргызской Республики;</w:t>
      </w:r>
    </w:p>
    <w:p>
      <w:pPr>
        <w:spacing w:after="60"/>
        <w:ind w:firstLine="567"/>
        <w:jc w:val="both"/>
      </w:pPr>
      <w:r>
        <w:rPr>
          <w:rFonts w:ascii="Arial" w:cs="Arial" w:eastAsia="Arial" w:hAnsi="Arial"/>
          <w:sz w:val="24"/>
          <w:szCs w:val="24"/>
        </w:rPr>
        <w:t xml:space="preserve">2) привлечение инвестиций и финансирование в приоритетные сектора экономики для устойчивого развития экономики страны;</w:t>
      </w:r>
    </w:p>
    <w:p>
      <w:pPr>
        <w:spacing w:after="60"/>
        <w:ind w:firstLine="567"/>
        <w:jc w:val="both"/>
      </w:pPr>
      <w:r>
        <w:rPr>
          <w:rFonts w:ascii="Arial" w:cs="Arial" w:eastAsia="Arial" w:hAnsi="Arial"/>
          <w:sz w:val="24"/>
          <w:szCs w:val="24"/>
        </w:rPr>
        <w:t xml:space="preserve">3) достижение основных приоритетов Национальной стратегии развития страны;</w:t>
      </w:r>
    </w:p>
    <w:p>
      <w:pPr>
        <w:spacing w:after="60"/>
        <w:ind w:firstLine="567"/>
        <w:jc w:val="both"/>
      </w:pPr>
      <w:r>
        <w:rPr>
          <w:rFonts w:ascii="Arial" w:cs="Arial" w:eastAsia="Arial" w:hAnsi="Arial"/>
          <w:sz w:val="24"/>
          <w:szCs w:val="24"/>
        </w:rPr>
        <w:t xml:space="preserve">4) социальная поддержка населения;</w:t>
      </w:r>
    </w:p>
    <w:p>
      <w:pPr>
        <w:spacing w:after="60"/>
        <w:ind w:firstLine="567"/>
        <w:jc w:val="both"/>
      </w:pPr>
      <w:r>
        <w:rPr>
          <w:rFonts w:ascii="Arial" w:cs="Arial" w:eastAsia="Arial" w:hAnsi="Arial"/>
          <w:sz w:val="24"/>
          <w:szCs w:val="24"/>
        </w:rPr>
        <w:t xml:space="preserve">5) поощрение общественно полезной, в том числе благотворительной деятельности.</w:t>
      </w:r>
    </w:p>
    <w:p>
      <w:pPr>
        <w:spacing w:after="60"/>
        <w:ind w:firstLine="567"/>
        <w:jc w:val="both"/>
      </w:pPr>
      <w:r>
        <w:rPr>
          <w:rFonts w:ascii="Arial" w:cs="Arial" w:eastAsia="Arial" w:hAnsi="Arial"/>
          <w:sz w:val="24"/>
          <w:szCs w:val="24"/>
        </w:rPr>
        <w:t xml:space="preserve">Индивидуальный предприниматель и организация, применяющие налоговую льготу, обязаны предоставлять информацию для оценки эффективности налоговой льготы в порядке, установленном Налоговым </w:t>
      </w:r>
      <w:hyperlink w:history="1" r:id="rIdzchmbbdctdv6en7ghjv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со </w:t>
      </w:r>
      <w:hyperlink w:history="1" r:id="rIdkzj-gkdsbzoabofpvqppc">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Налогового кодекса эффективность налоговых льгот подлежит оценке согласно принципу эффективности налоговых льгот.</w:t>
      </w:r>
    </w:p>
    <w:p>
      <w:pPr>
        <w:spacing w:after="60"/>
        <w:ind w:firstLine="567"/>
        <w:jc w:val="both"/>
      </w:pPr>
      <w:r>
        <w:rPr>
          <w:rFonts w:ascii="Arial" w:cs="Arial" w:eastAsia="Arial" w:hAnsi="Arial"/>
          <w:sz w:val="24"/>
          <w:szCs w:val="24"/>
        </w:rPr>
        <w:t xml:space="preserve">С целью реализации норм Налогового </w:t>
      </w:r>
      <w:hyperlink w:history="1" r:id="rIddynxrl-cqx-qvknobh_a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w:t>
      </w:r>
      <w:hyperlink w:history="1" r:id="rIdpzxkug_dvdeihlx0et7v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оценке эффективности налоговых льгот" от 4 августа 2023 года № 388 утвержден </w:t>
      </w:r>
      <w:hyperlink w:history="1" r:id="rIdr_0rbvwxytv2a5t_dfqy0">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оценки эффективности налоговых льгот (далее - Порядок).</w:t>
      </w:r>
    </w:p>
    <w:p>
      <w:pPr>
        <w:spacing w:after="60"/>
        <w:ind w:firstLine="567"/>
        <w:jc w:val="both"/>
      </w:pPr>
      <w:r>
        <w:rPr>
          <w:rFonts w:ascii="Arial" w:cs="Arial" w:eastAsia="Arial" w:hAnsi="Arial"/>
          <w:sz w:val="24"/>
          <w:szCs w:val="24"/>
        </w:rPr>
        <w:t xml:space="preserve">Так, согласно пункту 4 </w:t>
      </w:r>
      <w:hyperlink w:history="1" r:id="rIdaig_-pvh-quydsk5rfwom">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оценка эффективности налоговых льгот производится по двум видам:</w:t>
      </w:r>
    </w:p>
    <w:p>
      <w:pPr>
        <w:spacing w:after="60"/>
        <w:ind w:firstLine="567"/>
        <w:jc w:val="both"/>
      </w:pPr>
      <w:r>
        <w:rPr>
          <w:rFonts w:ascii="Arial" w:cs="Arial" w:eastAsia="Arial" w:hAnsi="Arial"/>
          <w:sz w:val="24"/>
          <w:szCs w:val="24"/>
        </w:rPr>
        <w:t xml:space="preserve">1) оценка эффективности действующих налоговых льгот;</w:t>
      </w:r>
    </w:p>
    <w:p>
      <w:pPr>
        <w:spacing w:after="60"/>
        <w:ind w:firstLine="567"/>
        <w:jc w:val="both"/>
      </w:pPr>
      <w:r>
        <w:rPr>
          <w:rFonts w:ascii="Arial" w:cs="Arial" w:eastAsia="Arial" w:hAnsi="Arial"/>
          <w:sz w:val="24"/>
          <w:szCs w:val="24"/>
        </w:rPr>
        <w:t xml:space="preserve">2) оценка эффективности планируемых к предоставлению налоговых льгот.</w:t>
      </w:r>
    </w:p>
    <w:p>
      <w:pPr>
        <w:spacing w:after="60"/>
        <w:ind w:firstLine="567"/>
        <w:jc w:val="both"/>
      </w:pPr>
      <w:r>
        <w:rPr>
          <w:rFonts w:ascii="Arial" w:cs="Arial" w:eastAsia="Arial" w:hAnsi="Arial"/>
          <w:sz w:val="24"/>
          <w:szCs w:val="24"/>
        </w:rPr>
        <w:t xml:space="preserve">Предложение, предусматривающее предоставление налоговой льготы, подлежит предварительной оценке эффективности налоговых льгот, которая должна проводиться в соответствии с данным </w:t>
      </w:r>
      <w:hyperlink w:history="1" r:id="rIdz-4qtex55b6sbe-hsobji">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государственным органом или субъектом предпринимательства/бизнес-ассоциацией, инициирующим установление налоговой льготы.</w:t>
      </w:r>
    </w:p>
    <w:p>
      <w:pPr>
        <w:spacing w:after="60"/>
        <w:ind w:firstLine="567"/>
        <w:jc w:val="both"/>
      </w:pPr>
      <w:r>
        <w:rPr>
          <w:rFonts w:ascii="Arial" w:cs="Arial" w:eastAsia="Arial" w:hAnsi="Arial"/>
          <w:sz w:val="24"/>
          <w:szCs w:val="24"/>
        </w:rPr>
        <w:t xml:space="preserve">В соответствии с пунктом 22 </w:t>
      </w:r>
      <w:hyperlink w:history="1" r:id="rIdawgtbqk3qj_sn4mf7tn_s">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предложение подлежит оформлению в виде аналитической записки показателей финансово-экономической деятельности, указанных в </w:t>
      </w:r>
      <w:hyperlink w:history="1" r:id="rIdcwbss7c9-_6t2gmffk_am">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данному Порядку, по категории налогоплательщиков, на которых будет распространяться налоговая льгота. Предложение в обязательном порядке должно содержать следующие сведения:</w:t>
      </w:r>
    </w:p>
    <w:p>
      <w:pPr>
        <w:spacing w:after="60"/>
        <w:ind w:firstLine="567"/>
        <w:jc w:val="both"/>
      </w:pPr>
      <w:r>
        <w:rPr>
          <w:rFonts w:ascii="Arial" w:cs="Arial" w:eastAsia="Arial" w:hAnsi="Arial"/>
          <w:sz w:val="24"/>
          <w:szCs w:val="24"/>
        </w:rPr>
        <w:t xml:space="preserve">1) категория налогоплательщиков, которым планируется предоставление налоговой льготы;</w:t>
      </w:r>
    </w:p>
    <w:p>
      <w:pPr>
        <w:spacing w:after="60"/>
        <w:ind w:firstLine="567"/>
        <w:jc w:val="both"/>
      </w:pPr>
      <w:r>
        <w:rPr>
          <w:rFonts w:ascii="Arial" w:cs="Arial" w:eastAsia="Arial" w:hAnsi="Arial"/>
          <w:sz w:val="24"/>
          <w:szCs w:val="24"/>
        </w:rPr>
        <w:t xml:space="preserve">2) срок действия планируемой к предоставлению налоговой льготы - не более 5 лет;</w:t>
      </w:r>
    </w:p>
    <w:p>
      <w:pPr>
        <w:spacing w:after="60"/>
        <w:ind w:firstLine="567"/>
        <w:jc w:val="both"/>
      </w:pPr>
      <w:r>
        <w:rPr>
          <w:rFonts w:ascii="Arial" w:cs="Arial" w:eastAsia="Arial" w:hAnsi="Arial"/>
          <w:sz w:val="24"/>
          <w:szCs w:val="24"/>
        </w:rPr>
        <w:t xml:space="preserve">3) обоснование целесообразности предоставления налоговых льгот, с обязательным описанием проблем, на решение которых направлено предоставление предлагаемой льготы, а также альтернативных путей решения указанных проблем;</w:t>
      </w:r>
    </w:p>
    <w:p>
      <w:pPr>
        <w:spacing w:after="60"/>
        <w:ind w:firstLine="567"/>
        <w:jc w:val="both"/>
      </w:pPr>
      <w:r>
        <w:rPr>
          <w:rFonts w:ascii="Arial" w:cs="Arial" w:eastAsia="Arial" w:hAnsi="Arial"/>
          <w:sz w:val="24"/>
          <w:szCs w:val="24"/>
        </w:rPr>
        <w:t xml:space="preserve">4) предоставление информации с указанием показателей соответствия предлагаемой налоговой льготы устойчивому развитию страны согласно статье 14 Налогового кодекса;</w:t>
      </w:r>
    </w:p>
    <w:p>
      <w:pPr>
        <w:spacing w:after="60"/>
        <w:ind w:firstLine="567"/>
        <w:jc w:val="both"/>
      </w:pPr>
      <w:r>
        <w:rPr>
          <w:rFonts w:ascii="Arial" w:cs="Arial" w:eastAsia="Arial" w:hAnsi="Arial"/>
          <w:sz w:val="24"/>
          <w:szCs w:val="24"/>
        </w:rPr>
        <w:t xml:space="preserve">5) оценка суммы потерь государственного бюджета в результате предоставления налоговой льготы.</w:t>
      </w:r>
    </w:p>
    <w:p>
      <w:pPr>
        <w:spacing w:after="60"/>
        <w:ind w:firstLine="567"/>
        <w:jc w:val="both"/>
      </w:pPr>
      <w:r>
        <w:rPr>
          <w:rFonts w:ascii="Arial" w:cs="Arial" w:eastAsia="Arial" w:hAnsi="Arial"/>
          <w:sz w:val="24"/>
          <w:szCs w:val="24"/>
        </w:rPr>
        <w:t xml:space="preserve">Учитывая важность данного вопроса, предлагаем рассмотреть данную льготу. Однако считаем целесообразным рассмотреть вопрос предоставления налоговой льготы после оценки эффективности и изучения информации по финансовым и экономическим показателям данного законопроекта, с учетом оценки влияния на доходы бюджета республики.</w:t>
      </w:r>
    </w:p>
    <w:p>
      <w:pPr>
        <w:spacing w:after="60"/>
        <w:ind w:firstLine="567"/>
        <w:jc w:val="both"/>
      </w:pPr>
      <w:r>
        <w:rPr>
          <w:rFonts w:ascii="Arial" w:cs="Arial" w:eastAsia="Arial" w:hAnsi="Arial"/>
          <w:sz w:val="24"/>
          <w:szCs w:val="24"/>
        </w:rPr>
        <w:t xml:space="preserve">Помимо этого, включение данной нормы нарушит принцип равного, единого и справедливого подхода к свободным экономическим зонам (в отношении СЭЗ: Лейлек, Маймак, Бишкек, Нарын, Каракол).</w:t>
      </w:r>
    </w:p>
    <w:p>
      <w:pPr>
        <w:spacing w:after="60"/>
        <w:ind w:firstLine="567"/>
        <w:jc w:val="both"/>
      </w:pPr>
      <w:r>
        <w:rPr>
          <w:rFonts w:ascii="Arial" w:cs="Arial" w:eastAsia="Arial" w:hAnsi="Arial"/>
          <w:sz w:val="24"/>
          <w:szCs w:val="24"/>
        </w:rPr>
        <w:t xml:space="preserve">3. Предлагаем статью 1 исключить, поскольку в соответствии с частью 2 </w:t>
      </w:r>
      <w:hyperlink w:history="1" r:id="rIduf21o8wedo5ro3ewsvplr">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Налогового кодекса внесение изменений в кодекс производится не более одного раза в год, а изменения вступают в силу с первого января следующего календарного года. В связи с чем отмечаем, что </w:t>
      </w:r>
      <w:hyperlink w:history="1" r:id="rId9tj2pmtfqm33cmp-xjf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Налоговый </w:t>
      </w:r>
      <w:hyperlink w:history="1" r:id="rId_jcg10ncrbpyk_9s1mkg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февраля 2024 года № 31 были внесены изменения в Налоговый </w:t>
      </w:r>
      <w:hyperlink w:history="1" r:id="rIddufszws4zntg0h3rxe-u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разработанные проекты закона о внесении изменений в Налоговый кодекс должны проходить процедуру рассмотрения Межведомственной рабочей группой на площадке Министерства экономики и коммерции Кыргызской Республики с участием соответствующих государственных органов и бизнес-сообществ, так как Министерство экономики и коммерции Кыргызской Республики является центральным государственным органом исполнительной власти, осуществляющим функции по разработке государственной налоговой, таможенной политики и государственной политики в области администрирования страховых взносов.</w:t>
      </w:r>
    </w:p>
    <w:p>
      <w:pPr>
        <w:spacing w:after="60"/>
        <w:ind w:firstLine="567"/>
        <w:jc w:val="both"/>
      </w:pPr>
      <w:r>
        <w:rPr>
          <w:rFonts w:ascii="Arial" w:cs="Arial" w:eastAsia="Arial" w:hAnsi="Arial"/>
          <w:sz w:val="24"/>
          <w:szCs w:val="24"/>
        </w:rPr>
        <w:t xml:space="preserve">Вместе с тем норма, дополняющая </w:t>
      </w:r>
      <w:hyperlink w:history="1" r:id="rIdb-zdnhgmziowboxso_ej_">
        <w:r>
          <w:rPr>
            <w:rFonts w:ascii="Arial" w:cs="Arial" w:eastAsia="Arial" w:hAnsi="Arial"/>
            <w:color w:val="1D4ED8"/>
            <w:sz w:val="24"/>
            <w:szCs w:val="24"/>
            <w:u w:val="single"/>
          </w:rPr>
          <w:t xml:space="preserve">статью 428</w:t>
        </w:r>
      </w:hyperlink>
      <w:r>
        <w:rPr>
          <w:rFonts w:ascii="Arial" w:cs="Arial" w:eastAsia="Arial" w:hAnsi="Arial"/>
          <w:sz w:val="24"/>
          <w:szCs w:val="24"/>
        </w:rPr>
        <w:t xml:space="preserve"> Налогового кодекса (пункт 2 статьи 1 законопроекта), регулирует правоотношения субъектов СЭЗ и вносится законопроектом, что является достаточным основанием считать резидента субъектом СЭЗ, подпадающим под специальный налоговый режим СЭЗ.</w:t>
      </w:r>
    </w:p>
    <w:p>
      <w:pPr>
        <w:spacing w:after="60"/>
        <w:ind w:firstLine="567"/>
        <w:jc w:val="both"/>
      </w:pPr>
      <w:r>
        <w:rPr>
          <w:rFonts w:ascii="Arial" w:cs="Arial" w:eastAsia="Arial" w:hAnsi="Arial"/>
          <w:sz w:val="24"/>
          <w:szCs w:val="24"/>
        </w:rPr>
        <w:t xml:space="preserve">Ввиду чего пункт 1 статьи 1 предлагаем исключить.</w:t>
      </w:r>
    </w:p>
    <w:p>
      <w:pPr>
        <w:spacing w:after="60"/>
        <w:ind w:firstLine="567"/>
        <w:jc w:val="both"/>
      </w:pPr>
      <w:r>
        <w:rPr>
          <w:rFonts w:ascii="Arial" w:cs="Arial" w:eastAsia="Arial" w:hAnsi="Arial"/>
          <w:sz w:val="24"/>
          <w:szCs w:val="24"/>
        </w:rPr>
        <w:t xml:space="preserve">4. Предлагаем доработать редакцию пункта 2 статьи 1 законопроекта с учетом пункта 2 заключения Кабинета Министров Кыргызской Республики, одобренного </w:t>
      </w:r>
      <w:r>
        <w:rPr>
          <w:rFonts w:ascii="Arial" w:cs="Arial" w:eastAsia="Arial" w:hAnsi="Arial"/>
          <w:sz w:val="24"/>
          <w:szCs w:val="24"/>
        </w:rPr>
        <w:t xml:space="preserve">распоряжением</w:t>
      </w:r>
      <w:r>
        <w:rPr>
          <w:rFonts w:ascii="Arial" w:cs="Arial" w:eastAsia="Arial" w:hAnsi="Arial"/>
          <w:sz w:val="24"/>
          <w:szCs w:val="24"/>
        </w:rPr>
        <w:t xml:space="preserve"> Председателя Кабинета Министров Кыргызской Республики от 6 мая 2024 года № 242.</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проекта Закона Кыргызской Республики "О внесении изменений в некоторые законодательные акты Кыргызской Республики (Налоговый </w:t>
      </w:r>
      <w:hyperlink w:history="1" r:id="rIdqleyn8vapotz0d8d9ucd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hyi8jzycufkzo4wty-u_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с учетом представленных замечаний и предложений.</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bikli8mfd1dhq28ocpl">
      <w:r>
        <w:rPr>
          <w:rFonts w:ascii="Arial" w:cs="Arial" w:eastAsia="Arial" w:hAnsi="Arial"/>
          <w:color w:val="132D3F"/>
          <w:sz w:val="16"/>
          <w:szCs w:val="16"/>
          <w:u w:val="single"/>
        </w:rPr>
        <w:t xml:space="preserve">dalil.kg/document/230034430</w:t>
      </w:r>
    </w:hyperlink>
  </w:p>
  <w:p>
    <w:pPr>
      <w:spacing w:after="0" w:before="40"/>
      <w:jc w:val="center"/>
    </w:pPr>
    <w:hyperlink w:history="1" r:id="rIdzzjhtythf7k51k3jtjp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di_fqwanvydwa666yxh" Type="http://schemas.openxmlformats.org/officeDocument/2006/relationships/hyperlink" Target="https://dalil.kg/document/112301#st_27" TargetMode="External"/><Relationship Id="rIdgychlnl2oavty-qsblbml" Type="http://schemas.openxmlformats.org/officeDocument/2006/relationships/hyperlink" Target="https://dalil.kg/document/230034430#pr" TargetMode="External"/><Relationship Id="rIdvv_j3ttdhfntokrxsfvad" Type="http://schemas.openxmlformats.org/officeDocument/2006/relationships/hyperlink" Target="https://dalil.kg/document/112340" TargetMode="External"/><Relationship Id="rIdizowraomvyjapfd7iimrm" Type="http://schemas.openxmlformats.org/officeDocument/2006/relationships/hyperlink" Target="https://dalil.kg/document/112340" TargetMode="External"/><Relationship Id="rIdpg9repnnw_re5vwscg2pz" Type="http://schemas.openxmlformats.org/officeDocument/2006/relationships/hyperlink" Target="https://dalil.kg/document/112301#st_27" TargetMode="External"/><Relationship Id="rId9vtcovfrntdqptj00neue" Type="http://schemas.openxmlformats.org/officeDocument/2006/relationships/hyperlink" Target="https://dalil.kg/document/112340" TargetMode="External"/><Relationship Id="rId20i0ycr_lmhy68a5uw-e2" Type="http://schemas.openxmlformats.org/officeDocument/2006/relationships/hyperlink" Target="https://dalil.kg/document/112340" TargetMode="External"/><Relationship Id="rIdewduje2nuk-w_fi8ssysi" Type="http://schemas.openxmlformats.org/officeDocument/2006/relationships/hyperlink" Target="https://dalil.kg/document/1190" TargetMode="External"/><Relationship Id="rIdzjof1kx1zf2u8xvhmsrbg" Type="http://schemas.openxmlformats.org/officeDocument/2006/relationships/hyperlink" Target="https://dalil.kg/document/1190" TargetMode="External"/><Relationship Id="rIdahd3bjid-kuaep62f3etp" Type="http://schemas.openxmlformats.org/officeDocument/2006/relationships/hyperlink" Target="https://dalil.kg/document/112340" TargetMode="External"/><Relationship Id="rIdvc516s0uw2hxpkarwrb8q" Type="http://schemas.openxmlformats.org/officeDocument/2006/relationships/hyperlink" Target="https://dalil.kg/document/112340#st_249" TargetMode="External"/><Relationship Id="rIdl2n5u9esh9vu4me0sjdso" Type="http://schemas.openxmlformats.org/officeDocument/2006/relationships/hyperlink" Target="https://dalil.kg/document/112340#st_14" TargetMode="External"/><Relationship Id="rIdzchmbbdctdv6en7ghjvx-" Type="http://schemas.openxmlformats.org/officeDocument/2006/relationships/hyperlink" Target="https://dalil.kg/document/112340" TargetMode="External"/><Relationship Id="rIdkzj-gkdsbzoabofpvqppc" Type="http://schemas.openxmlformats.org/officeDocument/2006/relationships/hyperlink" Target="https://dalil.kg/document/112340#st_36" TargetMode="External"/><Relationship Id="rIddynxrl-cqx-qvknobh_a4" Type="http://schemas.openxmlformats.org/officeDocument/2006/relationships/hyperlink" Target="https://dalil.kg/document/112340" TargetMode="External"/><Relationship Id="rIdpzxkug_dvdeihlx0et7vr" Type="http://schemas.openxmlformats.org/officeDocument/2006/relationships/hyperlink" Target="https://dalil.kg/document/160522" TargetMode="External"/><Relationship Id="rIdr_0rbvwxytv2a5t_dfqy0" Type="http://schemas.openxmlformats.org/officeDocument/2006/relationships/hyperlink" Target="https://dalil.kg/document/160523" TargetMode="External"/><Relationship Id="rIdaig_-pvh-quydsk5rfwom" Type="http://schemas.openxmlformats.org/officeDocument/2006/relationships/hyperlink" Target="https://dalil.kg/document/160523" TargetMode="External"/><Relationship Id="rIdz-4qtex55b6sbe-hsobji" Type="http://schemas.openxmlformats.org/officeDocument/2006/relationships/hyperlink" Target="https://dalil.kg/document/160523" TargetMode="External"/><Relationship Id="rIdawgtbqk3qj_sn4mf7tn_s" Type="http://schemas.openxmlformats.org/officeDocument/2006/relationships/hyperlink" Target="https://dalil.kg/document/160523" TargetMode="External"/><Relationship Id="rIdcwbss7c9-_6t2gmffk_am" Type="http://schemas.openxmlformats.org/officeDocument/2006/relationships/hyperlink" Target="https://dalil.kg/document/160523#pr5" TargetMode="External"/><Relationship Id="rIduf21o8wedo5ro3ewsvplr" Type="http://schemas.openxmlformats.org/officeDocument/2006/relationships/hyperlink" Target="https://dalil.kg/document/112340#st_15" TargetMode="External"/><Relationship Id="rId9tj2pmtfqm33cmp-xjfab" Type="http://schemas.openxmlformats.org/officeDocument/2006/relationships/hyperlink" Target="https://dalil.kg/document/230001081" TargetMode="External"/><Relationship Id="rId_jcg10ncrbpyk_9s1mkgl" Type="http://schemas.openxmlformats.org/officeDocument/2006/relationships/hyperlink" Target="https://dalil.kg/document/112340" TargetMode="External"/><Relationship Id="rIddufszws4zntg0h3rxe-uh" Type="http://schemas.openxmlformats.org/officeDocument/2006/relationships/hyperlink" Target="https://dalil.kg/document/112340" TargetMode="External"/><Relationship Id="rIdb-zdnhgmziowboxso_ej_" Type="http://schemas.openxmlformats.org/officeDocument/2006/relationships/hyperlink" Target="https://dalil.kg/document/112340#st_428" TargetMode="External"/><Relationship Id="rIdqleyn8vapotz0d8d9ucd1" Type="http://schemas.openxmlformats.org/officeDocument/2006/relationships/hyperlink" Target="https://dalil.kg/document/112340" TargetMode="External"/><Relationship Id="rIdhyi8jzycufkzo4wty-u_p" Type="http://schemas.openxmlformats.org/officeDocument/2006/relationships/hyperlink" Target="https://dalil.kg/document/20522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bikli8mfd1dhq28ocpl" Type="http://schemas.openxmlformats.org/officeDocument/2006/relationships/hyperlink" Target="https://dalil.kg/document/230034430" TargetMode="External"/><Relationship Id="rIdzzjhtythf7k51k3jtjp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2026-09-27T18:14:01.033Z</dcterms:created>
  <dcterms:modified xsi:type="dcterms:W3CDTF">2026-09-27T18:14:01.033Z</dcterms:modified>
</cp:coreProperties>
</file>

<file path=docProps/custom.xml><?xml version="1.0" encoding="utf-8"?>
<Properties xmlns="http://schemas.openxmlformats.org/officeDocument/2006/custom-properties" xmlns:vt="http://schemas.openxmlformats.org/officeDocument/2006/docPropsVTypes"/>
</file>