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сентября 2025 года № 625</w:t>
      </w:r>
    </w:p>
    <w:p>
      <w:pPr>
        <w:spacing w:after="240" w:before="200"/>
        <w:jc w:val="center"/>
      </w:pPr>
      <w:r>
        <w:rPr>
          <w:rFonts w:ascii="Arial" w:cs="Arial" w:eastAsia="Arial" w:hAnsi="Arial"/>
          <w:b/>
          <w:bCs/>
          <w:sz w:val="28"/>
          <w:szCs w:val="28"/>
        </w:rPr>
        <w:t xml:space="preserve">О внесении изменений в некоторые постановления</w:t>
      </w:r>
    </w:p>
    <w:p>
      <w:pPr>
        <w:spacing w:after="240" w:before="200"/>
        <w:jc w:val="center"/>
      </w:pPr>
      <w:r>
        <w:rPr>
          <w:rFonts w:ascii="Arial" w:cs="Arial" w:eastAsia="Arial" w:hAnsi="Arial"/>
          <w:b/>
          <w:bCs/>
          <w:sz w:val="28"/>
          <w:szCs w:val="28"/>
        </w:rPr>
        <w:t xml:space="preserve">Кабинета Министров Кыргызской Республики</w:t>
      </w:r>
    </w:p>
    <w:p>
      <w:pPr>
        <w:spacing w:after="240" w:before="200"/>
        <w:jc w:val="center"/>
      </w:pPr>
      <w:r>
        <w:rPr>
          <w:rFonts w:ascii="Arial" w:cs="Arial" w:eastAsia="Arial" w:hAnsi="Arial"/>
          <w:b/>
          <w:bCs/>
          <w:sz w:val="28"/>
          <w:szCs w:val="28"/>
        </w:rPr>
        <w:t xml:space="preserve">в сфере оборота виртуальных активов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повышения эффективности деятельности поставщиков услуг виртуальных активов, в соответствии со статьями </w:t>
      </w:r>
      <w:hyperlink w:history="1" r:id="rIdiccvpyj0nzg_zqlgkx7td">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gf0w7_28p1smwrq51kesp">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aopbpf7qrea-fy4stxv81">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00pzxox1nler8fujrndjr">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xgvtxw56cqirbofyw9swz">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gefujlaqybqixdinwo_lb">
        <w:r>
          <w:rPr>
            <w:rFonts w:ascii="Arial" w:cs="Arial" w:eastAsia="Arial" w:hAnsi="Arial"/>
            <w:color w:val="1D4ED8"/>
            <w:sz w:val="24"/>
            <w:szCs w:val="24"/>
            <w:u w:val="single"/>
          </w:rPr>
          <w:t xml:space="preserve">28</w:t>
        </w:r>
      </w:hyperlink>
      <w:r>
        <w:rPr>
          <w:rFonts w:ascii="Arial" w:cs="Arial" w:eastAsia="Arial" w:hAnsi="Arial"/>
          <w:sz w:val="24"/>
          <w:szCs w:val="24"/>
        </w:rPr>
        <w:t xml:space="preserve"> Закона Кыргызской Республики «О виртуальных активах», статьями </w:t>
      </w:r>
      <w:hyperlink w:history="1" r:id="rIdiwm3boxwwyfjkwqfigd7y">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zq2hx1htg97p6ts3vhd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r0xnru0tpycawcxxk7kh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и организаций Министерства экономики и коммерции Кыргызской Республики» от 10 декабря 2021 года № 300 следующие изменения:</w:t>
      </w:r>
    </w:p>
    <w:p>
      <w:pPr>
        <w:spacing w:after="120"/>
        <w:ind w:firstLine="397"/>
        <w:jc w:val="both"/>
      </w:pPr>
      <w:r>
        <w:rPr>
          <w:rFonts w:ascii="Arial" w:cs="Arial" w:eastAsia="Arial" w:hAnsi="Arial"/>
          <w:sz w:val="24"/>
          <w:szCs w:val="24"/>
        </w:rPr>
        <w:t xml:space="preserve">в </w:t>
      </w:r>
      <w:hyperlink w:history="1" r:id="rId-69xx7lvatgvcfr7umdq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Службе регулирования и надзора за финансовым рынком при Министерстве экономики и коммерции Кыргызской Республики, утвержденном вышеуказанным </w:t>
      </w:r>
      <w:hyperlink w:history="1" r:id="rIdvu8ertwx0h0towvbrlo-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второй </w:t>
      </w:r>
      <w:hyperlink w:history="1" r:id="rIdmfpb3mi_tdimkow8436th">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после слов «рынок ценных бумаг» дополнить словами «; рынок виртуальных активов»;</w:t>
      </w:r>
    </w:p>
    <w:p>
      <w:pPr>
        <w:spacing w:after="120"/>
        <w:ind w:firstLine="397"/>
        <w:jc w:val="both"/>
      </w:pPr>
      <w:r>
        <w:rPr>
          <w:rFonts w:ascii="Arial" w:cs="Arial" w:eastAsia="Arial" w:hAnsi="Arial"/>
          <w:sz w:val="24"/>
          <w:szCs w:val="24"/>
        </w:rPr>
        <w:t xml:space="preserve">– </w:t>
      </w:r>
      <w:hyperlink w:history="1" r:id="rIdz65gv0hreyi0uwbydoplj">
        <w:r>
          <w:rPr>
            <w:rFonts w:ascii="Arial" w:cs="Arial" w:eastAsia="Arial" w:hAnsi="Arial"/>
            <w:color w:val="1D4ED8"/>
            <w:sz w:val="24"/>
            <w:szCs w:val="24"/>
            <w:u w:val="single"/>
          </w:rPr>
          <w:t xml:space="preserve">пункт 14</w:t>
        </w:r>
      </w:hyperlink>
      <w:r>
        <w:rPr>
          <w:rFonts w:ascii="Arial" w:cs="Arial" w:eastAsia="Arial" w:hAnsi="Arial"/>
          <w:sz w:val="24"/>
          <w:szCs w:val="24"/>
        </w:rPr>
        <w:t xml:space="preserve"> дополнить подпунктом 50 следующего содержания:</w:t>
      </w:r>
    </w:p>
    <w:p>
      <w:pPr>
        <w:spacing w:after="120"/>
        <w:ind w:firstLine="397"/>
        <w:jc w:val="both"/>
      </w:pPr>
      <w:r>
        <w:rPr>
          <w:rFonts w:ascii="Arial" w:cs="Arial" w:eastAsia="Arial" w:hAnsi="Arial"/>
          <w:sz w:val="24"/>
          <w:szCs w:val="24"/>
        </w:rPr>
        <w:t xml:space="preserve">«50) в ходе мониторинга и проверки поставщиков услуг виртуальных активов осуществлять контрольный закуп виртуальных активов за счет средств специализированного фонда, созданного для этих целей, по мере необходимости.»;</w:t>
      </w:r>
    </w:p>
    <w:p>
      <w:pPr>
        <w:spacing w:after="120"/>
        <w:ind w:firstLine="397"/>
        <w:jc w:val="both"/>
      </w:pPr>
      <w:r>
        <w:rPr>
          <w:rFonts w:ascii="Arial" w:cs="Arial" w:eastAsia="Arial" w:hAnsi="Arial"/>
          <w:sz w:val="24"/>
          <w:szCs w:val="24"/>
        </w:rPr>
        <w:t xml:space="preserve">– </w:t>
      </w:r>
      <w:hyperlink w:history="1" r:id="rIduc3izdj7z4q077mrn8xg1">
        <w:r>
          <w:rPr>
            <w:rFonts w:ascii="Arial" w:cs="Arial" w:eastAsia="Arial" w:hAnsi="Arial"/>
            <w:color w:val="1D4ED8"/>
            <w:sz w:val="24"/>
            <w:szCs w:val="24"/>
            <w:u w:val="single"/>
          </w:rPr>
          <w:t xml:space="preserve">пункт 20</w:t>
        </w:r>
      </w:hyperlink>
      <w:r>
        <w:rPr>
          <w:rFonts w:ascii="Arial" w:cs="Arial" w:eastAsia="Arial" w:hAnsi="Arial"/>
          <w:sz w:val="24"/>
          <w:szCs w:val="24"/>
        </w:rPr>
        <w:t xml:space="preserve"> дополнить абзацем четвертым следующего содержания:</w:t>
      </w:r>
    </w:p>
    <w:p>
      <w:pPr>
        <w:spacing w:after="120"/>
        <w:ind w:firstLine="397"/>
        <w:jc w:val="both"/>
      </w:pPr>
      <w:r>
        <w:rPr>
          <w:rFonts w:ascii="Arial" w:cs="Arial" w:eastAsia="Arial" w:hAnsi="Arial"/>
          <w:sz w:val="24"/>
          <w:szCs w:val="24"/>
        </w:rPr>
        <w:t xml:space="preserve">«– средств фонда, созданного в целях осуществления контрольных закупок виртуальных активов у поставщиков услуг виртуальных активов;».</w:t>
      </w:r>
    </w:p>
    <w:p>
      <w:pPr>
        <w:spacing w:after="120"/>
        <w:ind w:firstLine="397"/>
        <w:jc w:val="both"/>
      </w:pPr>
      <w:r>
        <w:rPr>
          <w:rFonts w:ascii="Arial" w:cs="Arial" w:eastAsia="Arial" w:hAnsi="Arial"/>
          <w:sz w:val="24"/>
          <w:szCs w:val="24"/>
        </w:rPr>
        <w:t xml:space="preserve">2. Внести в </w:t>
      </w:r>
      <w:hyperlink w:history="1" r:id="rIdjcsl9z6xfta8jfz43zpc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регулирования отношений, возникающих при обороте виртуальных активов» от 16 сентября 2022 года № 514 следующие изменения:</w:t>
      </w:r>
    </w:p>
    <w:p>
      <w:pPr>
        <w:spacing w:after="120"/>
        <w:ind w:firstLine="397"/>
        <w:jc w:val="both"/>
      </w:pPr>
      <w:r>
        <w:rPr>
          <w:rFonts w:ascii="Arial" w:cs="Arial" w:eastAsia="Arial" w:hAnsi="Arial"/>
          <w:sz w:val="24"/>
          <w:szCs w:val="24"/>
        </w:rPr>
        <w:t xml:space="preserve">1) в </w:t>
      </w:r>
      <w:hyperlink w:history="1" r:id="rId47dpxcgkk-kbagsmxjdf_">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деятельности оператора торгов виртуальных активов (криптобиржи) и ведении Реестра операторов торгов виртуальных активов (криптобирж), утвержденном вышеуказанным </w:t>
      </w:r>
      <w:hyperlink w:history="1" r:id="rIdeaeiz2zkgyi1khe-bywi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абзацы второй – четвертый </w:t>
      </w:r>
      <w:hyperlink w:history="1" r:id="rIdsffdbdk1jbq4tppetldco">
        <w:r>
          <w:rPr>
            <w:rFonts w:ascii="Arial" w:cs="Arial" w:eastAsia="Arial" w:hAnsi="Arial"/>
            <w:color w:val="1D4ED8"/>
            <w:sz w:val="24"/>
            <w:szCs w:val="24"/>
            <w:u w:val="single"/>
          </w:rPr>
          <w:t xml:space="preserve">пункта 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оператора торгов виртуальных активов (криптобиржу) либо физическое лицо, от имени или в интересах которого совершается операция (сделка);</w:t>
      </w:r>
    </w:p>
    <w:p>
      <w:pPr>
        <w:spacing w:after="120"/>
        <w:ind w:firstLine="397"/>
        <w:jc w:val="both"/>
      </w:pPr>
      <w:r>
        <w:rPr>
          <w:rFonts w:ascii="Arial" w:cs="Arial" w:eastAsia="Arial" w:hAnsi="Arial"/>
          <w:sz w:val="24"/>
          <w:szCs w:val="24"/>
        </w:rPr>
        <w:t xml:space="preserve">клиент – физическое или юридическое лицо (организация), иностранный траст или юридическое образование, принятые на обслуживание или находящиеся на обслуживании у оператора торгов виртуальных активов (криптобиржи) либо с которыми оператор торгов виртуальных активов (криптобиржа) устанавливает или установил деловые отношения;</w:t>
      </w:r>
    </w:p>
    <w:p>
      <w:pPr>
        <w:spacing w:after="120"/>
        <w:ind w:firstLine="397"/>
        <w:jc w:val="both"/>
      </w:pPr>
      <w:r>
        <w:rPr>
          <w:rFonts w:ascii="Arial" w:cs="Arial" w:eastAsia="Arial" w:hAnsi="Arial"/>
          <w:sz w:val="24"/>
          <w:szCs w:val="24"/>
        </w:rPr>
        <w:t xml:space="preserve">процентный скоринг – это количественная оценка уровня риска виртуального актива или виртуального кошелька, основанная на анализе его поведения, операций и иных факторов, связанных с возможностью использования в противоправных действиях, таких как отмывание денег или финансирование терроризма;»;</w:t>
      </w:r>
    </w:p>
    <w:p>
      <w:pPr>
        <w:spacing w:after="120"/>
        <w:ind w:firstLine="397"/>
        <w:jc w:val="both"/>
      </w:pPr>
      <w:r>
        <w:rPr>
          <w:rFonts w:ascii="Arial" w:cs="Arial" w:eastAsia="Arial" w:hAnsi="Arial"/>
          <w:sz w:val="24"/>
          <w:szCs w:val="24"/>
        </w:rPr>
        <w:t xml:space="preserve">– </w:t>
      </w:r>
      <w:hyperlink w:history="1" r:id="rIdmpdrjmc8xomctakje_frx">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«5. В случае если оператор торгов виртуальных активов (криптобиржа) хранит активы пользователей на своих балансах, он обязан обеспечить раздельный учет финансовых активов оператора торгов виртуальных активов (криптобиржи), электронных виртуальных активов, денежных средств, находящихся у оператора торгов виртуальных активов (криптобиржи).»;</w:t>
      </w:r>
    </w:p>
    <w:p>
      <w:pPr>
        <w:spacing w:after="120"/>
        <w:ind w:firstLine="397"/>
        <w:jc w:val="both"/>
      </w:pPr>
      <w:r>
        <w:rPr>
          <w:rFonts w:ascii="Arial" w:cs="Arial" w:eastAsia="Arial" w:hAnsi="Arial"/>
          <w:sz w:val="24"/>
          <w:szCs w:val="24"/>
        </w:rPr>
        <w:t xml:space="preserve">– абзац третий </w:t>
      </w:r>
      <w:hyperlink w:history="1" r:id="rIdgyaaufsmc9e7x8cn8zmn7">
        <w:r>
          <w:rPr>
            <w:rFonts w:ascii="Arial" w:cs="Arial" w:eastAsia="Arial" w:hAnsi="Arial"/>
            <w:color w:val="1D4ED8"/>
            <w:sz w:val="24"/>
            <w:szCs w:val="24"/>
            <w:u w:val="single"/>
          </w:rPr>
          <w:t xml:space="preserve">пункта 11</w:t>
        </w:r>
      </w:hyperlink>
      <w:r>
        <w:rPr>
          <w:rFonts w:ascii="Arial" w:cs="Arial" w:eastAsia="Arial" w:hAnsi="Arial"/>
          <w:sz w:val="24"/>
          <w:szCs w:val="24"/>
        </w:rPr>
        <w:t xml:space="preserve"> на государственном языке признать утратившим силу;</w:t>
      </w:r>
    </w:p>
    <w:p>
      <w:pPr>
        <w:spacing w:after="120"/>
        <w:ind w:firstLine="397"/>
        <w:jc w:val="both"/>
      </w:pPr>
      <w:r>
        <w:rPr>
          <w:rFonts w:ascii="Arial" w:cs="Arial" w:eastAsia="Arial" w:hAnsi="Arial"/>
          <w:sz w:val="24"/>
          <w:szCs w:val="24"/>
        </w:rPr>
        <w:t xml:space="preserve">– </w:t>
      </w:r>
      <w:hyperlink w:history="1" r:id="rIdycxrc8fw4dsp6tz_g25jp">
        <w:r>
          <w:rPr>
            <w:rFonts w:ascii="Arial" w:cs="Arial" w:eastAsia="Arial" w:hAnsi="Arial"/>
            <w:color w:val="1D4ED8"/>
            <w:sz w:val="24"/>
            <w:szCs w:val="24"/>
            <w:u w:val="single"/>
          </w:rPr>
          <w:t xml:space="preserve">пункт 18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«18. Централизованный оператор торгов виртуальных активов (криптобиржа) обязан при установлении отношений с клиентом провести его идентификацию либо удаленную идентификацию, а также верификацию либо удаленную верификацию идентификационных данных в соответствии с законодательством в сфере противодействия финансированию преступной деятельности и легализации (отмыванию) преступных доходов, а также в сфере оборота виртуальных активов.</w:t>
      </w:r>
    </w:p>
    <w:p>
      <w:pPr>
        <w:spacing w:after="120"/>
        <w:ind w:firstLine="397"/>
        <w:jc w:val="both"/>
      </w:pPr>
      <w:r>
        <w:rPr>
          <w:rFonts w:ascii="Arial" w:cs="Arial" w:eastAsia="Arial" w:hAnsi="Arial"/>
          <w:sz w:val="24"/>
          <w:szCs w:val="24"/>
        </w:rPr>
        <w:t xml:space="preserve">Все проверки транзакций клиентов с виртуальными активами в целях соблюдения требований по противодействию финансированию преступной деятельности и легализации (отмыванию) преступных доходов (AML и KYT) в обязательном порядке должны проводиться с использованием информационной системы (программного обеспечения) поставщика AML/KYT-услуг, определенного уполномоченным органом.</w:t>
      </w:r>
    </w:p>
    <w:p>
      <w:pPr>
        <w:spacing w:after="120"/>
        <w:ind w:firstLine="397"/>
        <w:jc w:val="both"/>
      </w:pPr>
      <w:r>
        <w:rPr>
          <w:rFonts w:ascii="Arial" w:cs="Arial" w:eastAsia="Arial" w:hAnsi="Arial"/>
          <w:sz w:val="24"/>
          <w:szCs w:val="24"/>
        </w:rPr>
        <w:t xml:space="preserve">Процентный скоринг определяется уполномоченным органом.»;</w:t>
      </w:r>
    </w:p>
    <w:p>
      <w:pPr>
        <w:spacing w:after="120"/>
        <w:ind w:firstLine="397"/>
        <w:jc w:val="both"/>
      </w:pPr>
      <w:r>
        <w:rPr>
          <w:rFonts w:ascii="Arial" w:cs="Arial" w:eastAsia="Arial" w:hAnsi="Arial"/>
          <w:sz w:val="24"/>
          <w:szCs w:val="24"/>
        </w:rPr>
        <w:t xml:space="preserve">– дополнить </w:t>
      </w:r>
      <w:hyperlink w:history="1" r:id="rIdkg7dusoax3m8ykhivnfil">
        <w:r>
          <w:rPr>
            <w:rFonts w:ascii="Arial" w:cs="Arial" w:eastAsia="Arial" w:hAnsi="Arial"/>
            <w:color w:val="1D4ED8"/>
            <w:sz w:val="24"/>
            <w:szCs w:val="24"/>
            <w:u w:val="single"/>
          </w:rPr>
          <w:t xml:space="preserve">пунктом 18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До совершения сделок по продаже клиентам виртуальных активов за денежные средства или электронные деньги, либо по обмену виртуальных активов одного вида на виртуальные активы другого вида оператор торгов виртуальных активов (криптобиржа) обязан убедиться в наличии у клиентов достаточного уровня знаний (компетентности), необходимого для совершения указанных сделок. </w:t>
      </w:r>
    </w:p>
    <w:p>
      <w:pPr>
        <w:spacing w:after="120"/>
        <w:ind w:firstLine="397"/>
        <w:jc w:val="both"/>
      </w:pPr>
      <w:r>
        <w:rPr>
          <w:rFonts w:ascii="Arial" w:cs="Arial" w:eastAsia="Arial" w:hAnsi="Arial"/>
          <w:sz w:val="24"/>
          <w:szCs w:val="24"/>
        </w:rPr>
        <w:t xml:space="preserve">Оператор торгов виртуальных активов (криптобиржа) не вправе заключать указанные сделки с клиентами, в отношении которых установлено отсутствие необходимого уровня знаний (компетентности).</w:t>
      </w:r>
    </w:p>
    <w:p>
      <w:pPr>
        <w:spacing w:after="120"/>
        <w:ind w:firstLine="397"/>
        <w:jc w:val="both"/>
      </w:pPr>
      <w:r>
        <w:rPr>
          <w:rFonts w:ascii="Arial" w:cs="Arial" w:eastAsia="Arial" w:hAnsi="Arial"/>
          <w:sz w:val="24"/>
          <w:szCs w:val="24"/>
        </w:rPr>
        <w:t xml:space="preserve">Определение уровня знаний (компетентности) для совершения сделок, указанных в настоящем пункте, производится оператором торгов виртуальных активов (криптобиржей) посредством представления клиентам вопросника (теста) для заполнения (решения).</w:t>
      </w:r>
    </w:p>
    <w:p>
      <w:pPr>
        <w:spacing w:after="120"/>
        <w:ind w:firstLine="397"/>
        <w:jc w:val="both"/>
      </w:pPr>
      <w:r>
        <w:rPr>
          <w:rFonts w:ascii="Arial" w:cs="Arial" w:eastAsia="Arial" w:hAnsi="Arial"/>
          <w:sz w:val="24"/>
          <w:szCs w:val="24"/>
        </w:rPr>
        <w:t xml:space="preserve">Вопросник (тест) и изменения/дополнения к нему подлежат согласованию с уполномоченным органом в порядке и сроки, установленные уполномоченным органом.</w:t>
      </w:r>
    </w:p>
    <w:p>
      <w:pPr>
        <w:spacing w:after="120"/>
        <w:ind w:firstLine="397"/>
        <w:jc w:val="both"/>
      </w:pPr>
      <w:r>
        <w:rPr>
          <w:rFonts w:ascii="Arial" w:cs="Arial" w:eastAsia="Arial" w:hAnsi="Arial"/>
          <w:sz w:val="24"/>
          <w:szCs w:val="24"/>
        </w:rPr>
        <w:t xml:space="preserve">Уполномоченный орган после получения соответствующего уведомления анализирует полученный вопросник (тест) и в случае наличия замечаний/предложений в течение 30 (тридцать) календарных дней со дня регистрации уведомления информирует оператора торгов виртуальных активов о необходимости проработки вопросника (теста).</w:t>
      </w:r>
    </w:p>
    <w:p>
      <w:pPr>
        <w:spacing w:after="120"/>
        <w:ind w:firstLine="397"/>
        <w:jc w:val="both"/>
      </w:pPr>
      <w:r>
        <w:rPr>
          <w:rFonts w:ascii="Arial" w:cs="Arial" w:eastAsia="Arial" w:hAnsi="Arial"/>
          <w:sz w:val="24"/>
          <w:szCs w:val="24"/>
        </w:rPr>
        <w:t xml:space="preserve">Оператор торгов виртуальных активов (криптобиржа) должен информировать клиента о рисках при осуществлении сделок с виртуальными активами через все доступные и понятные каналы, включая и не исключая уведомления на платформе, электронные письма, текстовые и видеоматериалы, а также в процессе регистрации или перед осуществлением первой сделки.»;</w:t>
      </w:r>
    </w:p>
    <w:p>
      <w:pPr>
        <w:spacing w:after="120"/>
        <w:ind w:firstLine="397"/>
        <w:jc w:val="both"/>
      </w:pPr>
      <w:r>
        <w:rPr>
          <w:rFonts w:ascii="Arial" w:cs="Arial" w:eastAsia="Arial" w:hAnsi="Arial"/>
          <w:sz w:val="24"/>
          <w:szCs w:val="24"/>
        </w:rPr>
        <w:t xml:space="preserve">– в </w:t>
      </w:r>
      <w:hyperlink w:history="1" r:id="rIdzw8jhvxt25e3lebz4bv_f">
        <w:r>
          <w:rPr>
            <w:rFonts w:ascii="Arial" w:cs="Arial" w:eastAsia="Arial" w:hAnsi="Arial"/>
            <w:color w:val="1D4ED8"/>
            <w:sz w:val="24"/>
            <w:szCs w:val="24"/>
            <w:u w:val="single"/>
          </w:rPr>
          <w:t xml:space="preserve">пункте 23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слово «террористической» заменить словом «преступной»; </w:t>
      </w:r>
    </w:p>
    <w:p>
      <w:pPr>
        <w:spacing w:after="120"/>
        <w:ind w:firstLine="397"/>
        <w:jc w:val="both"/>
      </w:pPr>
      <w:r>
        <w:rPr>
          <w:rFonts w:ascii="Arial" w:cs="Arial" w:eastAsia="Arial" w:hAnsi="Arial"/>
          <w:sz w:val="24"/>
          <w:szCs w:val="24"/>
        </w:rPr>
        <w:t xml:space="preserve">дополнить абзацами следующего содержания:</w:t>
      </w:r>
    </w:p>
    <w:p>
      <w:pPr>
        <w:spacing w:after="120"/>
        <w:ind w:firstLine="397"/>
        <w:jc w:val="both"/>
      </w:pPr>
      <w:r>
        <w:rPr>
          <w:rFonts w:ascii="Arial" w:cs="Arial" w:eastAsia="Arial" w:hAnsi="Arial"/>
          <w:sz w:val="24"/>
          <w:szCs w:val="24"/>
        </w:rPr>
        <w:t xml:space="preserve">«– вопросник (тест), определяющий уровень знаний (компетентности) клиентов.</w:t>
      </w:r>
    </w:p>
    <w:p>
      <w:pPr>
        <w:spacing w:after="120"/>
        <w:ind w:firstLine="397"/>
        <w:jc w:val="both"/>
      </w:pPr>
      <w:r>
        <w:rPr>
          <w:rFonts w:ascii="Arial" w:cs="Arial" w:eastAsia="Arial" w:hAnsi="Arial"/>
          <w:sz w:val="24"/>
          <w:szCs w:val="24"/>
        </w:rPr>
        <w:t xml:space="preserve">Правила биржевой торговли с виртуальными активами должны быть опубликованы на интернет-сайте оператора торгов виртуальными активами и доступны для ознакомления всеми участниками торгов.»;</w:t>
      </w:r>
    </w:p>
    <w:p>
      <w:pPr>
        <w:spacing w:after="120"/>
        <w:ind w:firstLine="397"/>
        <w:jc w:val="both"/>
      </w:pPr>
      <w:r>
        <w:rPr>
          <w:rFonts w:ascii="Arial" w:cs="Arial" w:eastAsia="Arial" w:hAnsi="Arial"/>
          <w:sz w:val="24"/>
          <w:szCs w:val="24"/>
        </w:rPr>
        <w:t xml:space="preserve">– дополнить </w:t>
      </w:r>
      <w:hyperlink w:history="1" r:id="rIdl8rneloqnstrsh5-zuhig">
        <w:r>
          <w:rPr>
            <w:rFonts w:ascii="Arial" w:cs="Arial" w:eastAsia="Arial" w:hAnsi="Arial"/>
            <w:color w:val="1D4ED8"/>
            <w:sz w:val="24"/>
            <w:szCs w:val="24"/>
            <w:u w:val="single"/>
          </w:rPr>
          <w:t xml:space="preserve">пунктом 25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Оператор торгов виртуальных активов (криптобиржа) вправе устанавливать отношения с клиентами, которыми могут быть как резиденты, так и нерезиденты Кыргызской Республики, за исключением случаев, предусмотренных настоящим Положением 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Отношения оператора торгов виртуальных активов (криптобиржи) с клиентами должны строиться на договорной основе и/или публичной оферте.</w:t>
      </w:r>
    </w:p>
    <w:p>
      <w:pPr>
        <w:spacing w:after="120"/>
        <w:ind w:firstLine="397"/>
        <w:jc w:val="both"/>
      </w:pPr>
      <w:r>
        <w:rPr>
          <w:rFonts w:ascii="Arial" w:cs="Arial" w:eastAsia="Arial" w:hAnsi="Arial"/>
          <w:sz w:val="24"/>
          <w:szCs w:val="24"/>
        </w:rPr>
        <w:t xml:space="preserve">В договорах и/или публичной оферте, посредством которых устанавливаются отношения с клиентами, оператор торгов виртуальных активов (криптобиржа) обязан учитывать условия, предусмотренные настоящим Положением, </w:t>
      </w:r>
      <w:hyperlink w:history="1" r:id="rIdhhqau4mew2-pw4paxqix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а также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Принятие клиентом публичной оферты должно быть полным и безоговорочным. Совершение клиентом, получившим публичную оферту в срок, установленный для ее акцепта, действий по выполнению указанных в ней условий договора считается акцептом, если иное не предусмотрено законодательством в области гражданского права или не указано в публичной оферте.»;</w:t>
      </w:r>
    </w:p>
    <w:p>
      <w:pPr>
        <w:spacing w:after="120"/>
        <w:ind w:firstLine="397"/>
        <w:jc w:val="both"/>
      </w:pPr>
      <w:r>
        <w:rPr>
          <w:rFonts w:ascii="Arial" w:cs="Arial" w:eastAsia="Arial" w:hAnsi="Arial"/>
          <w:sz w:val="24"/>
          <w:szCs w:val="24"/>
        </w:rPr>
        <w:t xml:space="preserve">– </w:t>
      </w:r>
      <w:hyperlink w:history="1" r:id="rIdchpejs1kyn6kjl3cj9k_h">
        <w:r>
          <w:rPr>
            <w:rFonts w:ascii="Arial" w:cs="Arial" w:eastAsia="Arial" w:hAnsi="Arial"/>
            <w:color w:val="1D4ED8"/>
            <w:sz w:val="24"/>
            <w:szCs w:val="24"/>
            <w:u w:val="single"/>
          </w:rPr>
          <w:t xml:space="preserve">пункт 29</w:t>
        </w:r>
      </w:hyperlink>
      <w:r>
        <w:rPr>
          <w:rFonts w:ascii="Arial" w:cs="Arial" w:eastAsia="Arial" w:hAnsi="Arial"/>
          <w:sz w:val="24"/>
          <w:szCs w:val="24"/>
        </w:rPr>
        <w:t xml:space="preserve"> дополнить абзацем третьим следующего содержания: </w:t>
      </w:r>
    </w:p>
    <w:p>
      <w:pPr>
        <w:spacing w:after="120"/>
        <w:ind w:firstLine="397"/>
        <w:jc w:val="both"/>
      </w:pPr>
      <w:r>
        <w:rPr>
          <w:rFonts w:ascii="Arial" w:cs="Arial" w:eastAsia="Arial" w:hAnsi="Arial"/>
          <w:sz w:val="24"/>
          <w:szCs w:val="24"/>
        </w:rPr>
        <w:t xml:space="preserve">«– обеспечить хранение информации о результатах заполнения (прохождения) клиентами вопросника (теста) на протяжении срока не менее пяти лет;»;</w:t>
      </w:r>
    </w:p>
    <w:p>
      <w:pPr>
        <w:spacing w:after="120"/>
        <w:ind w:firstLine="397"/>
        <w:jc w:val="both"/>
      </w:pPr>
      <w:r>
        <w:rPr>
          <w:rFonts w:ascii="Arial" w:cs="Arial" w:eastAsia="Arial" w:hAnsi="Arial"/>
          <w:sz w:val="24"/>
          <w:szCs w:val="24"/>
        </w:rPr>
        <w:t xml:space="preserve">– в </w:t>
      </w:r>
      <w:hyperlink w:history="1" r:id="rIdsfbg_voucj_1p45rjuc3u">
        <w:r>
          <w:rPr>
            <w:rFonts w:ascii="Arial" w:cs="Arial" w:eastAsia="Arial" w:hAnsi="Arial"/>
            <w:color w:val="1D4ED8"/>
            <w:sz w:val="24"/>
            <w:szCs w:val="24"/>
            <w:u w:val="single"/>
          </w:rPr>
          <w:t xml:space="preserve">пункте 30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 первый после слов «Учредители/акционеры» дополнить словами «, бенефициарные владельцы»;</w:t>
      </w:r>
    </w:p>
    <w:p>
      <w:pPr>
        <w:spacing w:after="120"/>
        <w:ind w:firstLine="397"/>
        <w:jc w:val="both"/>
      </w:pPr>
      <w:r>
        <w:rPr>
          <w:rFonts w:ascii="Arial" w:cs="Arial" w:eastAsia="Arial" w:hAnsi="Arial"/>
          <w:sz w:val="24"/>
          <w:szCs w:val="24"/>
        </w:rPr>
        <w:t xml:space="preserve">абзац восьмой изложить в следующей редакции:</w:t>
      </w:r>
    </w:p>
    <w:p>
      <w:pPr>
        <w:spacing w:after="120"/>
        <w:ind w:firstLine="397"/>
        <w:jc w:val="both"/>
      </w:pPr>
      <w:r>
        <w:rPr>
          <w:rFonts w:ascii="Arial" w:cs="Arial" w:eastAsia="Arial" w:hAnsi="Arial"/>
          <w:sz w:val="24"/>
          <w:szCs w:val="24"/>
        </w:rPr>
        <w:t xml:space="preserve">«не включены в санкционный перечень, определенный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дополнить </w:t>
      </w:r>
      <w:hyperlink w:history="1" r:id="rIdtyjpbcost3vjo_pnhs3fb">
        <w:r>
          <w:rPr>
            <w:rFonts w:ascii="Arial" w:cs="Arial" w:eastAsia="Arial" w:hAnsi="Arial"/>
            <w:color w:val="1D4ED8"/>
            <w:sz w:val="24"/>
            <w:szCs w:val="24"/>
            <w:u w:val="single"/>
          </w:rPr>
          <w:t xml:space="preserve">пунктом 30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«30</w:t>
      </w:r>
      <w:r>
        <w:rPr>
          <w:rFonts w:ascii="Arial" w:cs="Arial" w:eastAsia="Arial" w:hAnsi="Arial"/>
          <w:sz w:val="24"/>
          <w:szCs w:val="24"/>
        </w:rPr>
        <w:t xml:space="preserve">1</w:t>
      </w:r>
      <w:r>
        <w:rPr>
          <w:rFonts w:ascii="Arial" w:cs="Arial" w:eastAsia="Arial" w:hAnsi="Arial"/>
          <w:sz w:val="24"/>
          <w:szCs w:val="24"/>
        </w:rPr>
        <w:t xml:space="preserve">. Должностные лица оператора торгов виртуальных активов подлежат обязательному согласованию с уполномоченным органом.</w:t>
      </w:r>
    </w:p>
    <w:p>
      <w:pPr>
        <w:spacing w:after="120"/>
        <w:ind w:firstLine="397"/>
        <w:jc w:val="both"/>
      </w:pPr>
      <w:r>
        <w:rPr>
          <w:rFonts w:ascii="Arial" w:cs="Arial" w:eastAsia="Arial" w:hAnsi="Arial"/>
          <w:sz w:val="24"/>
          <w:szCs w:val="24"/>
        </w:rPr>
        <w:t xml:space="preserve">Должностными лицами оператора торгов виртуальных активов, кандидатуры которых подлежат согласованию, являются:</w:t>
      </w:r>
    </w:p>
    <w:p>
      <w:pPr>
        <w:spacing w:after="120"/>
        <w:ind w:firstLine="397"/>
        <w:jc w:val="both"/>
      </w:pPr>
      <w:r>
        <w:rPr>
          <w:rFonts w:ascii="Arial" w:cs="Arial" w:eastAsia="Arial" w:hAnsi="Arial"/>
          <w:sz w:val="24"/>
          <w:szCs w:val="24"/>
        </w:rPr>
        <w:t xml:space="preserve">– руководитель и члены совета директоров (при наличии);</w:t>
      </w:r>
    </w:p>
    <w:p>
      <w:pPr>
        <w:spacing w:after="120"/>
        <w:ind w:firstLine="397"/>
        <w:jc w:val="both"/>
      </w:pPr>
      <w:r>
        <w:rPr>
          <w:rFonts w:ascii="Arial" w:cs="Arial" w:eastAsia="Arial" w:hAnsi="Arial"/>
          <w:sz w:val="24"/>
          <w:szCs w:val="24"/>
        </w:rPr>
        <w:t xml:space="preserve">– руководитель (лицо, единолично осуществляющее функции исполнительного органа) и члены исполнительного органа;</w:t>
      </w:r>
    </w:p>
    <w:p>
      <w:pPr>
        <w:spacing w:after="120"/>
        <w:ind w:firstLine="397"/>
        <w:jc w:val="both"/>
      </w:pPr>
      <w:r>
        <w:rPr>
          <w:rFonts w:ascii="Arial" w:cs="Arial" w:eastAsia="Arial" w:hAnsi="Arial"/>
          <w:sz w:val="24"/>
          <w:szCs w:val="24"/>
        </w:rPr>
        <w:t xml:space="preserve">– главный бухгалтер или единственный бухгалтер;</w:t>
      </w:r>
    </w:p>
    <w:p>
      <w:pPr>
        <w:spacing w:after="120"/>
        <w:ind w:firstLine="397"/>
        <w:jc w:val="both"/>
      </w:pPr>
      <w:r>
        <w:rPr>
          <w:rFonts w:ascii="Arial" w:cs="Arial" w:eastAsia="Arial" w:hAnsi="Arial"/>
          <w:sz w:val="24"/>
          <w:szCs w:val="24"/>
        </w:rPr>
        <w:t xml:space="preserve">– уполномоченный сотрудник или директор по рискам и комплаенсу.</w:t>
      </w:r>
    </w:p>
    <w:p>
      <w:pPr>
        <w:spacing w:after="120"/>
        <w:ind w:firstLine="397"/>
        <w:jc w:val="both"/>
      </w:pPr>
      <w:r>
        <w:rPr>
          <w:rFonts w:ascii="Arial" w:cs="Arial" w:eastAsia="Arial" w:hAnsi="Arial"/>
          <w:sz w:val="24"/>
          <w:szCs w:val="24"/>
        </w:rPr>
        <w:t xml:space="preserve">Должностное лицо оператора торгов виртуальных активов вправе занимать свою должность без согласования не более 45 (сорок пять) календарных дней со дня его назначения (избрания).</w:t>
      </w:r>
    </w:p>
    <w:p>
      <w:pPr>
        <w:spacing w:after="120"/>
        <w:ind w:firstLine="397"/>
        <w:jc w:val="both"/>
      </w:pPr>
      <w:r>
        <w:rPr>
          <w:rFonts w:ascii="Arial" w:cs="Arial" w:eastAsia="Arial" w:hAnsi="Arial"/>
          <w:sz w:val="24"/>
          <w:szCs w:val="24"/>
        </w:rPr>
        <w:t xml:space="preserve">По истечении срока, указанного в настоящем пункте, и в случаях непредставления полного пакета документов на согласование либо отказа в согласовании, оператор торгов виртуальных активов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w:t>
      </w:r>
    </w:p>
    <w:p>
      <w:pPr>
        <w:spacing w:after="120"/>
        <w:ind w:firstLine="397"/>
        <w:jc w:val="both"/>
      </w:pPr>
      <w:r>
        <w:rPr>
          <w:rFonts w:ascii="Arial" w:cs="Arial" w:eastAsia="Arial" w:hAnsi="Arial"/>
          <w:sz w:val="24"/>
          <w:szCs w:val="24"/>
        </w:rPr>
        <w:t xml:space="preserve">Запрещается исполнение обязанностей (замещение временно отсутствующего) должностного лица оператора торгов виртуальных активов без согласования свыше срока, установленного настоящим пунктом.</w:t>
      </w:r>
    </w:p>
    <w:p>
      <w:pPr>
        <w:spacing w:after="120"/>
        <w:ind w:firstLine="397"/>
        <w:jc w:val="both"/>
      </w:pPr>
      <w:r>
        <w:rPr>
          <w:rFonts w:ascii="Arial" w:cs="Arial" w:eastAsia="Arial" w:hAnsi="Arial"/>
          <w:sz w:val="24"/>
          <w:szCs w:val="24"/>
        </w:rPr>
        <w:t xml:space="preserve">Для согласования должностного лица оператор торгов виртуальных активов должен представить в уполномоченный орган письмо о согласовании (отдельно) каждой кандидатуры с приложением заверенных копий следующих документов:</w:t>
      </w:r>
    </w:p>
    <w:p>
      <w:pPr>
        <w:spacing w:after="120"/>
        <w:ind w:firstLine="397"/>
        <w:jc w:val="both"/>
      </w:pPr>
      <w:r>
        <w:rPr>
          <w:rFonts w:ascii="Arial" w:cs="Arial" w:eastAsia="Arial" w:hAnsi="Arial"/>
          <w:sz w:val="24"/>
          <w:szCs w:val="24"/>
        </w:rPr>
        <w:t xml:space="preserve">– решение об избрании/назначении кандидатуры;</w:t>
      </w:r>
    </w:p>
    <w:p>
      <w:pPr>
        <w:spacing w:after="120"/>
        <w:ind w:firstLine="397"/>
        <w:jc w:val="both"/>
      </w:pPr>
      <w:r>
        <w:rPr>
          <w:rFonts w:ascii="Arial" w:cs="Arial" w:eastAsia="Arial" w:hAnsi="Arial"/>
          <w:sz w:val="24"/>
          <w:szCs w:val="24"/>
        </w:rPr>
        <w:t xml:space="preserve">– удостоверение личности кандидата;</w:t>
      </w:r>
    </w:p>
    <w:p>
      <w:pPr>
        <w:spacing w:after="120"/>
        <w:ind w:firstLine="397"/>
        <w:jc w:val="both"/>
      </w:pPr>
      <w:r>
        <w:rPr>
          <w:rFonts w:ascii="Arial" w:cs="Arial" w:eastAsia="Arial" w:hAnsi="Arial"/>
          <w:sz w:val="24"/>
          <w:szCs w:val="24"/>
        </w:rPr>
        <w:t xml:space="preserve">– оригинал справки об отсутствии судимости;</w:t>
      </w:r>
    </w:p>
    <w:p>
      <w:pPr>
        <w:spacing w:after="120"/>
        <w:ind w:firstLine="397"/>
        <w:jc w:val="both"/>
      </w:pPr>
      <w:r>
        <w:rPr>
          <w:rFonts w:ascii="Arial" w:cs="Arial" w:eastAsia="Arial" w:hAnsi="Arial"/>
          <w:sz w:val="24"/>
          <w:szCs w:val="24"/>
        </w:rPr>
        <w:t xml:space="preserve">– оригинал анкеты кандидата по установленной форме согласно </w:t>
      </w:r>
      <w:hyperlink w:history="1" r:id="rIddeks669rfsnbbe2hm5_g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В случае если документы для согласования кандидатуры должностного лица имеются в системе межведомственного электронного взаимодействия «Тундук», то их представление в уполномоченный орган не требуется.</w:t>
      </w:r>
    </w:p>
    <w:p>
      <w:pPr>
        <w:spacing w:after="120"/>
        <w:ind w:firstLine="397"/>
        <w:jc w:val="both"/>
      </w:pPr>
      <w:r>
        <w:rPr>
          <w:rFonts w:ascii="Arial" w:cs="Arial" w:eastAsia="Arial" w:hAnsi="Arial"/>
          <w:sz w:val="24"/>
          <w:szCs w:val="24"/>
        </w:rPr>
        <w:t xml:space="preserve">При изменении в составе должностных лиц, прошедших процедуру согласования, оператор торгов виртуальных активов в течение 5 (пять) рабочих дней со дня избрания (назначения) нового должностного лица обязан предоставить в уполномоченный орган уведомление об изменениях. Письмо о согласовании новой кандидатуры представляется в уполномоченный орган в течение 10 (десять) рабочих дней с момента избрания (назначения) с приложением перечисленных выше документов.</w:t>
      </w:r>
    </w:p>
    <w:p>
      <w:pPr>
        <w:spacing w:after="120"/>
        <w:ind w:firstLine="397"/>
        <w:jc w:val="both"/>
      </w:pPr>
      <w:r>
        <w:rPr>
          <w:rFonts w:ascii="Arial" w:cs="Arial" w:eastAsia="Arial" w:hAnsi="Arial"/>
          <w:sz w:val="24"/>
          <w:szCs w:val="24"/>
        </w:rPr>
        <w:t xml:space="preserve">При изменении информации, содержащейся в пунктах анкеты, должностные лица, прошедшие согласование, обязаны уведомлять об этом (в письменной форме) уполномоченный орган в течение 10 (десять) рабочих дней после изменений.</w:t>
      </w:r>
    </w:p>
    <w:p>
      <w:pPr>
        <w:spacing w:after="120"/>
        <w:ind w:firstLine="397"/>
        <w:jc w:val="both"/>
      </w:pPr>
      <w:r>
        <w:rPr>
          <w:rFonts w:ascii="Arial" w:cs="Arial" w:eastAsia="Arial" w:hAnsi="Arial"/>
          <w:sz w:val="24"/>
          <w:szCs w:val="24"/>
        </w:rPr>
        <w:t xml:space="preserve">Документы на согласование должностного лица представляются на государственном или официальном языках.</w:t>
      </w:r>
    </w:p>
    <w:p>
      <w:pPr>
        <w:spacing w:after="120"/>
        <w:ind w:firstLine="397"/>
        <w:jc w:val="both"/>
      </w:pPr>
      <w:r>
        <w:rPr>
          <w:rFonts w:ascii="Arial" w:cs="Arial" w:eastAsia="Arial" w:hAnsi="Arial"/>
          <w:sz w:val="24"/>
          <w:szCs w:val="24"/>
        </w:rPr>
        <w:t xml:space="preserve">Документы, представленные для выдачи согласия на назначение (избрание) должностных лиц оператора торгов виртуальных активов, рассматриваются уполномоченным органом в течение 30 (тридцать) календарных дней с даты представления полного пакета документов в соответствии с требованиями настоящего Положения.</w:t>
      </w:r>
    </w:p>
    <w:p>
      <w:pPr>
        <w:spacing w:after="120"/>
        <w:ind w:firstLine="397"/>
        <w:jc w:val="both"/>
      </w:pPr>
      <w:r>
        <w:rPr>
          <w:rFonts w:ascii="Arial" w:cs="Arial" w:eastAsia="Arial" w:hAnsi="Arial"/>
          <w:sz w:val="24"/>
          <w:szCs w:val="24"/>
        </w:rPr>
        <w:t xml:space="preserve">В выдаче согласия на назначение (избрание) должностных лиц оператора торгов виртуальных активов отказывается по следующим основаниям:</w:t>
      </w:r>
    </w:p>
    <w:p>
      <w:pPr>
        <w:spacing w:after="120"/>
        <w:ind w:firstLine="397"/>
        <w:jc w:val="both"/>
      </w:pPr>
      <w:r>
        <w:rPr>
          <w:rFonts w:ascii="Arial" w:cs="Arial" w:eastAsia="Arial" w:hAnsi="Arial"/>
          <w:sz w:val="24"/>
          <w:szCs w:val="24"/>
        </w:rPr>
        <w:t xml:space="preserve">– несоответствие должностных лиц требованиям, установленным настоящим Положением;</w:t>
      </w:r>
    </w:p>
    <w:p>
      <w:pPr>
        <w:spacing w:after="120"/>
        <w:ind w:firstLine="397"/>
        <w:jc w:val="both"/>
      </w:pPr>
      <w:r>
        <w:rPr>
          <w:rFonts w:ascii="Arial" w:cs="Arial" w:eastAsia="Arial" w:hAnsi="Arial"/>
          <w:sz w:val="24"/>
          <w:szCs w:val="24"/>
        </w:rPr>
        <w:t xml:space="preserve">– неустранение оператором торгов виртуальных активов замечаний или представление оператором торгов виртуальных активов доработанных с учетом замечаний документов по истечении установленного настоящим пунктом срока рассмотрения документов;</w:t>
      </w:r>
    </w:p>
    <w:p>
      <w:pPr>
        <w:spacing w:after="120"/>
        <w:ind w:firstLine="397"/>
        <w:jc w:val="both"/>
      </w:pPr>
      <w:r>
        <w:rPr>
          <w:rFonts w:ascii="Arial" w:cs="Arial" w:eastAsia="Arial" w:hAnsi="Arial"/>
          <w:sz w:val="24"/>
          <w:szCs w:val="24"/>
        </w:rPr>
        <w:t xml:space="preserve">– представление документов по истечении установленного настоящим пунктом срока, в течение которого должностное лицо может занимать свою должность без согласования.</w:t>
      </w:r>
    </w:p>
    <w:p>
      <w:pPr>
        <w:spacing w:after="120"/>
        <w:ind w:firstLine="397"/>
        <w:jc w:val="both"/>
      </w:pPr>
      <w:r>
        <w:rPr>
          <w:rFonts w:ascii="Arial" w:cs="Arial" w:eastAsia="Arial" w:hAnsi="Arial"/>
          <w:sz w:val="24"/>
          <w:szCs w:val="24"/>
        </w:rPr>
        <w:t xml:space="preserve">Выданное согласие на назначение (избрание) должностного лица оператора торгов виртуальных активов отзывается по следующим основаниям:</w:t>
      </w:r>
    </w:p>
    <w:p>
      <w:pPr>
        <w:spacing w:after="120"/>
        <w:ind w:firstLine="397"/>
        <w:jc w:val="both"/>
      </w:pPr>
      <w:r>
        <w:rPr>
          <w:rFonts w:ascii="Arial" w:cs="Arial" w:eastAsia="Arial" w:hAnsi="Arial"/>
          <w:sz w:val="24"/>
          <w:szCs w:val="24"/>
        </w:rPr>
        <w:t xml:space="preserve">– выявление недостоверных сведений, на основании которых было выдано согласие;</w:t>
      </w:r>
    </w:p>
    <w:p>
      <w:pPr>
        <w:spacing w:after="120"/>
        <w:ind w:firstLine="397"/>
        <w:jc w:val="both"/>
      </w:pPr>
      <w:r>
        <w:rPr>
          <w:rFonts w:ascii="Arial" w:cs="Arial" w:eastAsia="Arial" w:hAnsi="Arial"/>
          <w:sz w:val="24"/>
          <w:szCs w:val="24"/>
        </w:rPr>
        <w:t xml:space="preserve">– систематическое (3 и более раза в течение последних 12 календарных месяцев) применение уполномоченным органом мер воздействия к должностному лицу и/или оператору торгов виртуальных активов, в котором данное должностное лицо занимает (занимал в течение последних 12 календарных месяцев) соответствующую должность;</w:t>
      </w:r>
    </w:p>
    <w:p>
      <w:pPr>
        <w:spacing w:after="120"/>
        <w:ind w:firstLine="397"/>
        <w:jc w:val="both"/>
      </w:pPr>
      <w:r>
        <w:rPr>
          <w:rFonts w:ascii="Arial" w:cs="Arial" w:eastAsia="Arial" w:hAnsi="Arial"/>
          <w:sz w:val="24"/>
          <w:szCs w:val="24"/>
        </w:rPr>
        <w:t xml:space="preserve">– наличие непогашенной судимости.</w:t>
      </w:r>
    </w:p>
    <w:p>
      <w:pPr>
        <w:spacing w:after="120"/>
        <w:ind w:firstLine="397"/>
        <w:jc w:val="both"/>
      </w:pPr>
      <w:r>
        <w:rPr>
          <w:rFonts w:ascii="Arial" w:cs="Arial" w:eastAsia="Arial" w:hAnsi="Arial"/>
          <w:sz w:val="24"/>
          <w:szCs w:val="24"/>
        </w:rPr>
        <w:t xml:space="preserve">В случае отзыва согласия на назначение (избрание) должностного лица оператора торгов виртуальных активов, оператор торгов виртуальных активов обязан расторгнуть трудовой договор с данным лицом не позднее чем через 14 (четырнадцать) календарных дней со дня получения отзыва. В случае если трудовой договор отсутствует, оператор торгов виртуальных активов должен принять меры по прекращению полномочий данного должностного лица.»;</w:t>
      </w:r>
    </w:p>
    <w:p>
      <w:pPr>
        <w:spacing w:after="120"/>
        <w:ind w:firstLine="397"/>
        <w:jc w:val="both"/>
      </w:pPr>
      <w:hyperlink w:history="1" r:id="rIdr7q_j1ztixdhvmoo0qsmz">
        <w:r>
          <w:rPr>
            <w:rFonts w:ascii="Arial" w:cs="Arial" w:eastAsia="Arial" w:hAnsi="Arial"/>
            <w:color w:val="1D4ED8"/>
            <w:sz w:val="24"/>
            <w:szCs w:val="24"/>
            <w:u w:val="single"/>
          </w:rPr>
          <w:t xml:space="preserve">пункт 35</w:t>
        </w:r>
      </w:hyperlink>
      <w:r>
        <w:rPr>
          <w:rFonts w:ascii="Arial" w:cs="Arial" w:eastAsia="Arial" w:hAnsi="Arial"/>
          <w:sz w:val="24"/>
          <w:szCs w:val="24"/>
        </w:rPr>
        <w:t xml:space="preserve"> дополнить абзацем следующего содержания: </w:t>
      </w:r>
    </w:p>
    <w:p>
      <w:pPr>
        <w:spacing w:after="120"/>
        <w:ind w:firstLine="397"/>
        <w:jc w:val="both"/>
      </w:pPr>
      <w:r>
        <w:rPr>
          <w:rFonts w:ascii="Arial" w:cs="Arial" w:eastAsia="Arial" w:hAnsi="Arial"/>
          <w:sz w:val="24"/>
          <w:szCs w:val="24"/>
        </w:rPr>
        <w:t xml:space="preserve">«Физическим и юридическим лицам – резидентам Кыргызской Республики запрещается проведение операций с виртуальными активами через нелицензированных операторов торгов виртуальных активов.»;</w:t>
      </w:r>
    </w:p>
    <w:p>
      <w:pPr>
        <w:spacing w:after="120"/>
        <w:ind w:firstLine="397"/>
        <w:jc w:val="both"/>
      </w:pPr>
      <w:r>
        <w:rPr>
          <w:rFonts w:ascii="Arial" w:cs="Arial" w:eastAsia="Arial" w:hAnsi="Arial"/>
          <w:sz w:val="24"/>
          <w:szCs w:val="24"/>
        </w:rPr>
        <w:t xml:space="preserve">– </w:t>
      </w:r>
      <w:hyperlink w:history="1" r:id="rIdtfdruvrci6otgfeu8ng-j">
        <w:r>
          <w:rPr>
            <w:rFonts w:ascii="Arial" w:cs="Arial" w:eastAsia="Arial" w:hAnsi="Arial"/>
            <w:color w:val="1D4ED8"/>
            <w:sz w:val="24"/>
            <w:szCs w:val="24"/>
            <w:u w:val="single"/>
          </w:rPr>
          <w:t xml:space="preserve">главу 8</w:t>
        </w:r>
      </w:hyperlink>
      <w:r>
        <w:rPr>
          <w:rFonts w:ascii="Arial" w:cs="Arial" w:eastAsia="Arial" w:hAnsi="Arial"/>
          <w:sz w:val="24"/>
          <w:szCs w:val="24"/>
        </w:rPr>
        <w:t xml:space="preserve"> дополнить </w:t>
      </w:r>
      <w:hyperlink w:history="1" r:id="rIdoof73hv7cyz2nve1-mjur">
        <w:r>
          <w:rPr>
            <w:rFonts w:ascii="Arial" w:cs="Arial" w:eastAsia="Arial" w:hAnsi="Arial"/>
            <w:color w:val="1D4ED8"/>
            <w:sz w:val="24"/>
            <w:szCs w:val="24"/>
            <w:u w:val="single"/>
          </w:rPr>
          <w:t xml:space="preserve">пунктом 39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«39</w:t>
      </w:r>
      <w:r>
        <w:rPr>
          <w:rFonts w:ascii="Arial" w:cs="Arial" w:eastAsia="Arial" w:hAnsi="Arial"/>
          <w:sz w:val="24"/>
          <w:szCs w:val="24"/>
        </w:rPr>
        <w:t xml:space="preserve">1</w:t>
      </w:r>
      <w:r>
        <w:rPr>
          <w:rFonts w:ascii="Arial" w:cs="Arial" w:eastAsia="Arial" w:hAnsi="Arial"/>
          <w:sz w:val="24"/>
          <w:szCs w:val="24"/>
        </w:rPr>
        <w:t xml:space="preserve">. Операторам торгов виртуальных активов (криптобиржам) запрещается:</w:t>
      </w:r>
    </w:p>
    <w:p>
      <w:pPr>
        <w:spacing w:after="120"/>
        <w:ind w:firstLine="397"/>
        <w:jc w:val="both"/>
      </w:pPr>
      <w:r>
        <w:rPr>
          <w:rFonts w:ascii="Arial" w:cs="Arial" w:eastAsia="Arial" w:hAnsi="Arial"/>
          <w:sz w:val="24"/>
          <w:szCs w:val="24"/>
        </w:rPr>
        <w:t xml:space="preserve">1) использовать в деятельности кошельки виртуальных активов повышенной конфиденциальности (Private Wallets), если обладатели/держатели таких кошельков не были идентифицированы;</w:t>
      </w:r>
    </w:p>
    <w:p>
      <w:pPr>
        <w:spacing w:after="120"/>
        <w:ind w:firstLine="397"/>
        <w:jc w:val="both"/>
      </w:pPr>
      <w:r>
        <w:rPr>
          <w:rFonts w:ascii="Arial" w:cs="Arial" w:eastAsia="Arial" w:hAnsi="Arial"/>
          <w:sz w:val="24"/>
          <w:szCs w:val="24"/>
        </w:rPr>
        <w:t xml:space="preserve">2) использовать в деятельности токены с уникальными характеристиками (NFT);</w:t>
      </w:r>
    </w:p>
    <w:p>
      <w:pPr>
        <w:spacing w:after="120"/>
        <w:ind w:firstLine="397"/>
        <w:jc w:val="both"/>
      </w:pPr>
      <w:r>
        <w:rPr>
          <w:rFonts w:ascii="Arial" w:cs="Arial" w:eastAsia="Arial" w:hAnsi="Arial"/>
          <w:sz w:val="24"/>
          <w:szCs w:val="24"/>
        </w:rPr>
        <w:t xml:space="preserve">3) использовать в деятельности предоплаченные карты, выпущенные зарубежными финансовыми учреждениями;</w:t>
      </w:r>
    </w:p>
    <w:p>
      <w:pPr>
        <w:spacing w:after="120"/>
        <w:ind w:firstLine="397"/>
        <w:jc w:val="both"/>
      </w:pPr>
      <w:r>
        <w:rPr>
          <w:rFonts w:ascii="Arial" w:cs="Arial" w:eastAsia="Arial" w:hAnsi="Arial"/>
          <w:sz w:val="24"/>
          <w:szCs w:val="24"/>
        </w:rPr>
        <w:t xml:space="preserve">4) осуществлять переводы виртуальных активов и проводить операции с виртуальными активами, связанные с деятельностью онлайн-казино и виртуальных казино;</w:t>
      </w:r>
    </w:p>
    <w:p>
      <w:pPr>
        <w:spacing w:after="120"/>
        <w:ind w:firstLine="397"/>
        <w:jc w:val="both"/>
      </w:pPr>
      <w:r>
        <w:rPr>
          <w:rFonts w:ascii="Arial" w:cs="Arial" w:eastAsia="Arial" w:hAnsi="Arial"/>
          <w:sz w:val="24"/>
          <w:szCs w:val="24"/>
        </w:rPr>
        <w:t xml:space="preserve">5) осуществлять операции с виртуальными активами, кошельками виртуальных активов, имеющими высокий уровень рисков, выявленных в результате процентного скоринга.</w:t>
      </w:r>
    </w:p>
    <w:p>
      <w:pPr>
        <w:spacing w:after="120"/>
        <w:ind w:firstLine="397"/>
        <w:jc w:val="both"/>
      </w:pPr>
      <w:r>
        <w:rPr>
          <w:rFonts w:ascii="Arial" w:cs="Arial" w:eastAsia="Arial" w:hAnsi="Arial"/>
          <w:sz w:val="24"/>
          <w:szCs w:val="24"/>
        </w:rPr>
        <w:t xml:space="preserve">Списки виртуальных активов, запрещенных к использованию, определяются уполномоченным органом и опубликовываются на интернет-сайте уполномоченного органа. Исключения могут быть одобрены отдельным операторам торгов виртуальных активов по запросу последнего и при условии предоставления детального процесса идентификации держателей таких виртуальных активов и системы контроля/мониторинга операций, связанных с такими виртуальными активами.»;</w:t>
      </w:r>
    </w:p>
    <w:p>
      <w:pPr>
        <w:spacing w:after="120"/>
        <w:ind w:firstLine="397"/>
        <w:jc w:val="both"/>
      </w:pPr>
      <w:r>
        <w:rPr>
          <w:rFonts w:ascii="Arial" w:cs="Arial" w:eastAsia="Arial" w:hAnsi="Arial"/>
          <w:sz w:val="24"/>
          <w:szCs w:val="24"/>
        </w:rPr>
        <w:t xml:space="preserve">– </w:t>
      </w:r>
      <w:hyperlink w:history="1" r:id="rIdp2gboh58rq6n60avdz2z6">
        <w:r>
          <w:rPr>
            <w:rFonts w:ascii="Arial" w:cs="Arial" w:eastAsia="Arial" w:hAnsi="Arial"/>
            <w:color w:val="1D4ED8"/>
            <w:sz w:val="24"/>
            <w:szCs w:val="24"/>
            <w:u w:val="single"/>
          </w:rPr>
          <w:t xml:space="preserve">пункт 51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«51. Для получения лицензии на ведение деятельности в качестве поставщика услуг виртуальных активов, осуществляемой оператором торгов виртуальных активов (криптобиржей), юридическое лицо представляет в уполномоченный орган следующие документы/сведения в одном экземпляре на государственном или официальном языках:</w:t>
      </w:r>
    </w:p>
    <w:p>
      <w:pPr>
        <w:spacing w:after="120"/>
        <w:ind w:firstLine="397"/>
        <w:jc w:val="both"/>
      </w:pPr>
      <w:r>
        <w:rPr>
          <w:rFonts w:ascii="Arial" w:cs="Arial" w:eastAsia="Arial" w:hAnsi="Arial"/>
          <w:sz w:val="24"/>
          <w:szCs w:val="24"/>
        </w:rPr>
        <w:t xml:space="preserve">1) заявление о выдаче лицензии, составленное по форме согласно </w:t>
      </w:r>
      <w:hyperlink w:history="1" r:id="rIdvfjozqph-eydqpzbwfaz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с печатью и подписью руководителя юридического лица;</w:t>
      </w:r>
    </w:p>
    <w:p>
      <w:pPr>
        <w:spacing w:after="120"/>
        <w:ind w:firstLine="397"/>
        <w:jc w:val="both"/>
      </w:pPr>
      <w:r>
        <w:rPr>
          <w:rFonts w:ascii="Arial" w:cs="Arial" w:eastAsia="Arial" w:hAnsi="Arial"/>
          <w:sz w:val="24"/>
          <w:szCs w:val="24"/>
        </w:rPr>
        <w:t xml:space="preserve">2) копии учредительных документов юридического лица, заверенные нотариально (устава и учредительного договора (при наличии более одного учредителя); решений о создании юридического лица, о размере уставного капитала, об избрании совета директоров (при наличии) и исполнительных органов управления);</w:t>
      </w:r>
    </w:p>
    <w:p>
      <w:pPr>
        <w:spacing w:after="120"/>
        <w:ind w:firstLine="397"/>
        <w:jc w:val="both"/>
      </w:pPr>
      <w:r>
        <w:rPr>
          <w:rFonts w:ascii="Arial" w:cs="Arial" w:eastAsia="Arial" w:hAnsi="Arial"/>
          <w:sz w:val="24"/>
          <w:szCs w:val="24"/>
        </w:rPr>
        <w:t xml:space="preserve">3) документы/сведения по акционерам/учредителям – физическим лицам и бенефициарным владельцам юридического лица (схематическое изображение структуры собственности юридического лица, которое позволяет установить конечных бенефициарных владельцев юридического лица; информация о владельцах пяти и более процентов акций в капитале юридического лица, содержащая идентификационные данные таких лиц, количество и процент акций в капитале, которыми обладает каждый такой акционер;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налоговым законодательством Кыргызской Республики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w:t>
      </w:r>
    </w:p>
    <w:p>
      <w:pPr>
        <w:spacing w:after="120"/>
        <w:ind w:firstLine="397"/>
        <w:jc w:val="both"/>
      </w:pPr>
      <w:r>
        <w:rPr>
          <w:rFonts w:ascii="Arial" w:cs="Arial" w:eastAsia="Arial" w:hAnsi="Arial"/>
          <w:sz w:val="24"/>
          <w:szCs w:val="24"/>
        </w:rPr>
        <w:t xml:space="preserve">4) документы должностных лиц юридического лица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налоговым законодательством Кыргызской Республики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 актуальную биографию с указанием образования, полученных дипломов, соответствующих курсов профессиональной подготовки, которые он/она прошел, профессионального опыта, включая, в частности, названия всех организаций, в которых он/она работал, характер и продолжительность занимаемых должностей, деловой репутации);</w:t>
      </w:r>
    </w:p>
    <w:p>
      <w:pPr>
        <w:spacing w:after="120"/>
        <w:ind w:firstLine="397"/>
        <w:jc w:val="both"/>
      </w:pPr>
      <w:r>
        <w:rPr>
          <w:rFonts w:ascii="Arial" w:cs="Arial" w:eastAsia="Arial" w:hAnsi="Arial"/>
          <w:sz w:val="24"/>
          <w:szCs w:val="24"/>
        </w:rPr>
        <w:t xml:space="preserve">5) заполненные и подписанные акционерами/учредителями, должностными лицами и бенефициарными владельцами юридического лица анкеты по форме согласно приложениям </w:t>
      </w:r>
      <w:hyperlink w:history="1" r:id="rIdk7gr9owfjyyo-yekv8nob">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jhdckg7k_rsnhjdvsmzkd">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Положению либо сканированные копии заполненных анкет с последующим предоставлением оригинала;</w:t>
      </w:r>
    </w:p>
    <w:p>
      <w:pPr>
        <w:spacing w:after="120"/>
        <w:ind w:firstLine="397"/>
        <w:jc w:val="both"/>
      </w:pPr>
      <w:r>
        <w:rPr>
          <w:rFonts w:ascii="Arial" w:cs="Arial" w:eastAsia="Arial" w:hAnsi="Arial"/>
          <w:sz w:val="24"/>
          <w:szCs w:val="24"/>
        </w:rPr>
        <w:t xml:space="preserve">6) копии внутренних документов/политик/процедур юридического лица, связанных с корпоративным управлением и менеджментом (документы должны быть прошиты, пронумерованы, заверены печатью и подписью руководителя юридического лица), описывающие политику внутреннего управления; политику внутреннего контроля; организационную/функциональную схему; политику управления рисками; общую матрицу рисков; реестр внутренних политик/процедур; порядок действий при возникновении нештатных ситуаций; руководство и материалы по обучению; порядок взаимных расчетов участников оператора торгов виртуальных активов (криптобиржи) при заключении сделок; порядок движения денежных средств, проходящих через агентов; 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 причастных к террористической и экстремистской деятельности или распространению оружия массового уничтожения; правила листинга виртуальных активов, включающие процедуры листинга иностранных виртуальных активов, выпущенных и обращающихся у иностранных операторов торгов виртуальных активов (криптобирж);</w:t>
      </w:r>
    </w:p>
    <w:p>
      <w:pPr>
        <w:spacing w:after="120"/>
        <w:ind w:firstLine="397"/>
        <w:jc w:val="both"/>
      </w:pPr>
      <w:r>
        <w:rPr>
          <w:rFonts w:ascii="Arial" w:cs="Arial" w:eastAsia="Arial" w:hAnsi="Arial"/>
          <w:sz w:val="24"/>
          <w:szCs w:val="24"/>
        </w:rPr>
        <w:t xml:space="preserve">7) программу/план операционных действий; </w:t>
      </w:r>
    </w:p>
    <w:p>
      <w:pPr>
        <w:spacing w:after="120"/>
        <w:ind w:firstLine="397"/>
        <w:jc w:val="both"/>
      </w:pPr>
      <w:r>
        <w:rPr>
          <w:rFonts w:ascii="Arial" w:cs="Arial" w:eastAsia="Arial" w:hAnsi="Arial"/>
          <w:sz w:val="24"/>
          <w:szCs w:val="24"/>
        </w:rPr>
        <w:t xml:space="preserve">8) бизнес-план (технико-экономическое обоснование), содержащий как минимум определение целей при оказании услуг, связанных с виртуальными активами, прогнозные расчеты экономических результатов, ожидаемых от оказания данных услуг, как минимум на 3 (три) года; </w:t>
      </w:r>
    </w:p>
    <w:p>
      <w:pPr>
        <w:spacing w:after="120"/>
        <w:ind w:firstLine="397"/>
        <w:jc w:val="both"/>
      </w:pPr>
      <w:r>
        <w:rPr>
          <w:rFonts w:ascii="Arial" w:cs="Arial" w:eastAsia="Arial" w:hAnsi="Arial"/>
          <w:sz w:val="24"/>
          <w:szCs w:val="24"/>
        </w:rPr>
        <w:t xml:space="preserve">9) блок-схему для каждой услуги, предоставляемой юридическим лицом (схема, визуализирующая последовательность шагов/процессов, которые происходят при предоставлении конкретной услуги клиентам/пользователям); </w:t>
      </w:r>
    </w:p>
    <w:p>
      <w:pPr>
        <w:spacing w:after="120"/>
        <w:ind w:firstLine="397"/>
        <w:jc w:val="both"/>
      </w:pPr>
      <w:r>
        <w:rPr>
          <w:rFonts w:ascii="Arial" w:cs="Arial" w:eastAsia="Arial" w:hAnsi="Arial"/>
          <w:sz w:val="24"/>
          <w:szCs w:val="24"/>
        </w:rPr>
        <w:t xml:space="preserve">10) политику и план обеспечения непрерывности деятельности; </w:t>
      </w:r>
    </w:p>
    <w:p>
      <w:pPr>
        <w:spacing w:after="120"/>
        <w:ind w:firstLine="397"/>
        <w:jc w:val="both"/>
      </w:pPr>
      <w:r>
        <w:rPr>
          <w:rFonts w:ascii="Arial" w:cs="Arial" w:eastAsia="Arial" w:hAnsi="Arial"/>
          <w:sz w:val="24"/>
          <w:szCs w:val="24"/>
        </w:rPr>
        <w:t xml:space="preserve">11) копию договора на открытие расчетного счета в банке для хранения и использования денежных средств от клиентов и от своих агентов за оказание услуг, связанных с виртуальными активами, а также отдельного счета для хозяйственной деятельности юридического лица; </w:t>
      </w:r>
    </w:p>
    <w:p>
      <w:pPr>
        <w:spacing w:after="120"/>
        <w:ind w:firstLine="397"/>
        <w:jc w:val="both"/>
      </w:pPr>
      <w:r>
        <w:rPr>
          <w:rFonts w:ascii="Arial" w:cs="Arial" w:eastAsia="Arial" w:hAnsi="Arial"/>
          <w:sz w:val="24"/>
          <w:szCs w:val="24"/>
        </w:rPr>
        <w:t xml:space="preserve">12) документ, подтверждающий внесение денежных средств в качестве уставного капитала согласно настоящему Положению; </w:t>
      </w:r>
    </w:p>
    <w:p>
      <w:pPr>
        <w:spacing w:after="120"/>
        <w:ind w:firstLine="397"/>
        <w:jc w:val="both"/>
      </w:pPr>
      <w:r>
        <w:rPr>
          <w:rFonts w:ascii="Arial" w:cs="Arial" w:eastAsia="Arial" w:hAnsi="Arial"/>
          <w:sz w:val="24"/>
          <w:szCs w:val="24"/>
        </w:rPr>
        <w:t xml:space="preserve">13) финансовую отчетность на последнюю отчетную дату, переданную в налоговые органы, заверенную печатью и подписью руководителя юридического лица);</w:t>
      </w:r>
    </w:p>
    <w:p>
      <w:pPr>
        <w:spacing w:after="120"/>
        <w:ind w:firstLine="397"/>
        <w:jc w:val="both"/>
      </w:pPr>
      <w:r>
        <w:rPr>
          <w:rFonts w:ascii="Arial" w:cs="Arial" w:eastAsia="Arial" w:hAnsi="Arial"/>
          <w:sz w:val="24"/>
          <w:szCs w:val="24"/>
        </w:rPr>
        <w:t xml:space="preserve">14) сведения/документы о ресурсах юридического лица (описание кадровых и технических ресурсов, выделенных на запланированную деятельность; кадровый и технический прогноз по каждому виду деятельности; акт установки и введения в промышленную эксплуатацию платформы, размещенной на серверах, один из которых (основной сервер) должен находиться на территории Кыргызской Республики, а другой (запасной сервер) в целях защиты программного обеспечения и защиты от кибератак – на территории иностранного государства);</w:t>
      </w:r>
    </w:p>
    <w:p>
      <w:pPr>
        <w:spacing w:after="120"/>
        <w:ind w:firstLine="397"/>
        <w:jc w:val="both"/>
      </w:pPr>
      <w:r>
        <w:rPr>
          <w:rFonts w:ascii="Arial" w:cs="Arial" w:eastAsia="Arial" w:hAnsi="Arial"/>
          <w:sz w:val="24"/>
          <w:szCs w:val="24"/>
        </w:rPr>
        <w:t xml:space="preserve">15) документы/сведения по системе противодействия финансированию преступной деятельности и легализации (отмыванию) преступных доходов юридического лица (руководство по противодействию финансированию преступной деятельности и легализации (отмыванию) преступных доходов; процедуры должной осмотрительности, идентификации и верификации клиентов; политика принятия клиентов в рамках противодействия финансированию преступной деятельности и легализации (отмыванию) преступных доходов; процедуры мониторинга клиентов и транзакций в рамках противодействия финансированию преступной деятельности и легализации (отмыванию) преступных доходов; руководство по обучению в области противодействия финансированию преступной деятельности и легализации (отмывания); соглашения с поставщиками услуг в области противодействия финансированию преступной деятельности и легализации (отмывания) преступных доходов; матрица рисков финансирования преступной деятельности и легализации (отмывания) преступных доходов; функциональные возможности инструментов для оценки рисков, связанных с финансированием преступной деятельности и легализацией (отмыванием) преступных доходов; сценарии противодействия финансированию преступной деятельности и легализации (отмыванию) преступных доходов, реализованные в инструментах; объем предупреждений о противодействии финансированию преступной деятельности и легализации (отмыванию) преступных доходов и количество клиентов, классифицированных по уровню рисков);</w:t>
      </w:r>
    </w:p>
    <w:p>
      <w:pPr>
        <w:spacing w:after="120"/>
        <w:ind w:firstLine="397"/>
        <w:jc w:val="both"/>
      </w:pPr>
      <w:r>
        <w:rPr>
          <w:rFonts w:ascii="Arial" w:cs="Arial" w:eastAsia="Arial" w:hAnsi="Arial"/>
          <w:sz w:val="24"/>
          <w:szCs w:val="24"/>
        </w:rPr>
        <w:t xml:space="preserve">16) документы по кибербезопасности и политике информационных технологий юридического лица (процедуры, регламентирующие порядок обеспечения информационной безопасности (кибербезопасности) – описание организации безопасности; политика обработки данных (внутренняя и внешняя); политика кибербезопасности; процедуры оценки и регистрации киберрисков; процедуры управления ключами криптокошельков; порядок обработки персональных данных клиентов);</w:t>
      </w:r>
    </w:p>
    <w:p>
      <w:pPr>
        <w:spacing w:after="120"/>
        <w:ind w:firstLine="397"/>
        <w:jc w:val="both"/>
      </w:pPr>
      <w:r>
        <w:rPr>
          <w:rFonts w:ascii="Arial" w:cs="Arial" w:eastAsia="Arial" w:hAnsi="Arial"/>
          <w:sz w:val="24"/>
          <w:szCs w:val="24"/>
        </w:rPr>
        <w:t xml:space="preserve">17) сведения/документы клиентов юридического лица (общие положения и условия; порядок проведения претензионной работы; политика защиты прав клиентов/инвесторов; ценовая политика для клиентов; порядок возврата денежных средств клиентам);</w:t>
      </w:r>
    </w:p>
    <w:p>
      <w:pPr>
        <w:spacing w:after="120"/>
        <w:ind w:firstLine="397"/>
        <w:jc w:val="both"/>
      </w:pPr>
      <w:r>
        <w:rPr>
          <w:rFonts w:ascii="Arial" w:cs="Arial" w:eastAsia="Arial" w:hAnsi="Arial"/>
          <w:sz w:val="24"/>
          <w:szCs w:val="24"/>
        </w:rPr>
        <w:t xml:space="preserve">18) доверенность за подписью руководителя или иного уполномоченного лица в соответствии с учредительными документами, с оттиском печати, выданная представителю на получение лицензии, если от имени юридического лица действует представитель по доверенности;</w:t>
      </w:r>
    </w:p>
    <w:p>
      <w:pPr>
        <w:spacing w:after="120"/>
        <w:ind w:firstLine="397"/>
        <w:jc w:val="both"/>
      </w:pPr>
      <w:r>
        <w:rPr>
          <w:rFonts w:ascii="Arial" w:cs="Arial" w:eastAsia="Arial" w:hAnsi="Arial"/>
          <w:sz w:val="24"/>
          <w:szCs w:val="24"/>
        </w:rPr>
        <w:t xml:space="preserve">19) данные о деловой репутации юридического лица;</w:t>
      </w:r>
    </w:p>
    <w:p>
      <w:pPr>
        <w:spacing w:after="120"/>
        <w:ind w:firstLine="397"/>
        <w:jc w:val="both"/>
      </w:pPr>
      <w:r>
        <w:rPr>
          <w:rFonts w:ascii="Arial" w:cs="Arial" w:eastAsia="Arial" w:hAnsi="Arial"/>
          <w:sz w:val="24"/>
          <w:szCs w:val="24"/>
        </w:rPr>
        <w:t xml:space="preserve">20) документ, подтверждающий оплату государственной пошлины за лицензию;</w:t>
      </w:r>
    </w:p>
    <w:p>
      <w:pPr>
        <w:spacing w:after="120"/>
        <w:ind w:firstLine="397"/>
        <w:jc w:val="both"/>
      </w:pPr>
      <w:r>
        <w:rPr>
          <w:rFonts w:ascii="Arial" w:cs="Arial" w:eastAsia="Arial" w:hAnsi="Arial"/>
          <w:sz w:val="24"/>
          <w:szCs w:val="24"/>
        </w:rPr>
        <w:t xml:space="preserve">21) копию заключенного договора с поставщиком AML/KYT-услуг, определенным уполномоченным органом.»;</w:t>
      </w:r>
    </w:p>
    <w:p>
      <w:pPr>
        <w:spacing w:after="120"/>
        <w:ind w:firstLine="397"/>
        <w:jc w:val="both"/>
      </w:pPr>
      <w:r>
        <w:rPr>
          <w:rFonts w:ascii="Arial" w:cs="Arial" w:eastAsia="Arial" w:hAnsi="Arial"/>
          <w:sz w:val="24"/>
          <w:szCs w:val="24"/>
        </w:rPr>
        <w:t xml:space="preserve">– </w:t>
      </w:r>
      <w:hyperlink w:history="1" r:id="rIdokbafi-zghehokomie3iv">
        <w:r>
          <w:rPr>
            <w:rFonts w:ascii="Arial" w:cs="Arial" w:eastAsia="Arial" w:hAnsi="Arial"/>
            <w:color w:val="1D4ED8"/>
            <w:sz w:val="24"/>
            <w:szCs w:val="24"/>
            <w:u w:val="single"/>
          </w:rPr>
          <w:t xml:space="preserve">главу 16</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 абзац первый </w:t>
      </w:r>
      <w:hyperlink w:history="1" r:id="rIdoegcxgbksshwcvpfdrjuh">
        <w:r>
          <w:rPr>
            <w:rFonts w:ascii="Arial" w:cs="Arial" w:eastAsia="Arial" w:hAnsi="Arial"/>
            <w:color w:val="1D4ED8"/>
            <w:sz w:val="24"/>
            <w:szCs w:val="24"/>
            <w:u w:val="single"/>
          </w:rPr>
          <w:t xml:space="preserve">пункта 90</w:t>
        </w:r>
      </w:hyperlink>
      <w:r>
        <w:rPr>
          <w:rFonts w:ascii="Arial" w:cs="Arial" w:eastAsia="Arial" w:hAnsi="Arial"/>
          <w:sz w:val="24"/>
          <w:szCs w:val="24"/>
        </w:rPr>
        <w:t xml:space="preserve"> после слова «ежеквартально» дополнить словами «, не позднее 10 рабочих дней после даты окончания отчетного квартала»;</w:t>
      </w:r>
    </w:p>
    <w:p>
      <w:pPr>
        <w:spacing w:after="120"/>
        <w:ind w:firstLine="397"/>
        <w:jc w:val="both"/>
      </w:pPr>
      <w:r>
        <w:rPr>
          <w:rFonts w:ascii="Arial" w:cs="Arial" w:eastAsia="Arial" w:hAnsi="Arial"/>
          <w:sz w:val="24"/>
          <w:szCs w:val="24"/>
        </w:rPr>
        <w:t xml:space="preserve">– дополнить </w:t>
      </w:r>
      <w:hyperlink w:history="1" r:id="rId7wmoodngiq5xr4b8lxikq">
        <w:r>
          <w:rPr>
            <w:rFonts w:ascii="Arial" w:cs="Arial" w:eastAsia="Arial" w:hAnsi="Arial"/>
            <w:color w:val="1D4ED8"/>
            <w:sz w:val="24"/>
            <w:szCs w:val="24"/>
            <w:u w:val="single"/>
          </w:rPr>
          <w:t xml:space="preserve">пунктом 90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«90</w:t>
      </w:r>
      <w:r>
        <w:rPr>
          <w:rFonts w:ascii="Arial" w:cs="Arial" w:eastAsia="Arial" w:hAnsi="Arial"/>
          <w:sz w:val="24"/>
          <w:szCs w:val="24"/>
        </w:rPr>
        <w:t xml:space="preserve">1</w:t>
      </w:r>
      <w:r>
        <w:rPr>
          <w:rFonts w:ascii="Arial" w:cs="Arial" w:eastAsia="Arial" w:hAnsi="Arial"/>
          <w:sz w:val="24"/>
          <w:szCs w:val="24"/>
        </w:rPr>
        <w:t xml:space="preserve">. Деятельность оператора торгов виртуальных активов подлежит ежегодной внешней аудиторской проверке согласно законодательству Кыргызской Республики в области аудиторской деятельности и международным стандартам аудита.</w:t>
      </w:r>
    </w:p>
    <w:p>
      <w:pPr>
        <w:spacing w:after="120"/>
        <w:ind w:firstLine="397"/>
        <w:jc w:val="both"/>
      </w:pPr>
      <w:r>
        <w:rPr>
          <w:rFonts w:ascii="Arial" w:cs="Arial" w:eastAsia="Arial" w:hAnsi="Arial"/>
          <w:sz w:val="24"/>
          <w:szCs w:val="24"/>
        </w:rPr>
        <w:t xml:space="preserve">Внешним аудитором оператора торгов виртуальных активов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w:t>
      </w:r>
    </w:p>
    <w:p>
      <w:pPr>
        <w:spacing w:after="120"/>
        <w:ind w:firstLine="397"/>
        <w:jc w:val="both"/>
      </w:pPr>
      <w:r>
        <w:rPr>
          <w:rFonts w:ascii="Arial" w:cs="Arial" w:eastAsia="Arial" w:hAnsi="Arial"/>
          <w:sz w:val="24"/>
          <w:szCs w:val="24"/>
        </w:rPr>
        <w:t xml:space="preserve">По завершении финансового года оператор торгов виртуальных активов обязан:</w:t>
      </w:r>
    </w:p>
    <w:p>
      <w:pPr>
        <w:spacing w:after="120"/>
        <w:ind w:firstLine="397"/>
        <w:jc w:val="both"/>
      </w:pPr>
      <w:r>
        <w:rPr>
          <w:rFonts w:ascii="Arial" w:cs="Arial" w:eastAsia="Arial" w:hAnsi="Arial"/>
          <w:sz w:val="24"/>
          <w:szCs w:val="24"/>
        </w:rPr>
        <w:t xml:space="preserve">– обеспечить проведение внешнего аудита оператора торгов виртуальных активов в срок до 90 (девяносто) дней с начала нового финансового года;</w:t>
      </w:r>
    </w:p>
    <w:p>
      <w:pPr>
        <w:spacing w:after="120"/>
        <w:ind w:firstLine="397"/>
        <w:jc w:val="both"/>
      </w:pPr>
      <w:r>
        <w:rPr>
          <w:rFonts w:ascii="Arial" w:cs="Arial" w:eastAsia="Arial" w:hAnsi="Arial"/>
          <w:sz w:val="24"/>
          <w:szCs w:val="24"/>
        </w:rPr>
        <w:t xml:space="preserve">– представить уполномоченному органу заверенную копию аудиторского заключения вместе с финансовой отчетностью и письмом аудитора к руководству оператора торгов виртуальных активов в срок не позднее 105 (сто пять) дней с начала нового финансового года.»;</w:t>
      </w:r>
    </w:p>
    <w:p>
      <w:pPr>
        <w:spacing w:after="120"/>
        <w:ind w:firstLine="397"/>
        <w:jc w:val="both"/>
      </w:pPr>
      <w:r>
        <w:rPr>
          <w:rFonts w:ascii="Arial" w:cs="Arial" w:eastAsia="Arial" w:hAnsi="Arial"/>
          <w:sz w:val="24"/>
          <w:szCs w:val="24"/>
        </w:rPr>
        <w:t xml:space="preserve">– наименование </w:t>
      </w:r>
      <w:hyperlink w:history="1" r:id="rId-h3nmquxrfx44plkhutvc">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вышеуказанному </w:t>
      </w:r>
      <w:hyperlink w:history="1" r:id="rIds08f-3u5tobikiiayshbs">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изложить в следующей редакции: «Анкета акционера/учредителя, бенефициарного владельца и должностного лица оператора торгов виртуальных активов (криптобиржи)»;</w:t>
      </w:r>
    </w:p>
    <w:p>
      <w:pPr>
        <w:spacing w:after="120"/>
        <w:ind w:firstLine="397"/>
        <w:jc w:val="both"/>
      </w:pPr>
      <w:r>
        <w:rPr>
          <w:rFonts w:ascii="Arial" w:cs="Arial" w:eastAsia="Arial" w:hAnsi="Arial"/>
          <w:sz w:val="24"/>
          <w:szCs w:val="24"/>
        </w:rPr>
        <w:t xml:space="preserve">– наименование </w:t>
      </w:r>
      <w:hyperlink w:history="1" r:id="rIdghdqlea-dh6moefgec0pu">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вышеуказанному </w:t>
      </w:r>
      <w:hyperlink w:history="1" r:id="rId3ng5pm_v5nwdd7u8xesju">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изложить в следующей редакции: «Анкета акционера/учредителя, бенефициарного владельца оператора торгов виртуальных активов (криптобиржи)»;</w:t>
      </w:r>
    </w:p>
    <w:p>
      <w:pPr>
        <w:spacing w:after="120"/>
        <w:ind w:firstLine="397"/>
        <w:jc w:val="both"/>
      </w:pPr>
      <w:r>
        <w:rPr>
          <w:rFonts w:ascii="Arial" w:cs="Arial" w:eastAsia="Arial" w:hAnsi="Arial"/>
          <w:sz w:val="24"/>
          <w:szCs w:val="24"/>
        </w:rPr>
        <w:t xml:space="preserve">– приложения 5–9 к вышеуказанному </w:t>
      </w:r>
      <w:hyperlink w:history="1" r:id="rIdorvypc0qxki3jywldhjwj">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признать утратившими силу;</w:t>
      </w:r>
    </w:p>
    <w:p>
      <w:pPr>
        <w:spacing w:after="120"/>
        <w:ind w:firstLine="397"/>
        <w:jc w:val="both"/>
      </w:pPr>
      <w:r>
        <w:rPr>
          <w:rFonts w:ascii="Arial" w:cs="Arial" w:eastAsia="Arial" w:hAnsi="Arial"/>
          <w:sz w:val="24"/>
          <w:szCs w:val="24"/>
        </w:rPr>
        <w:t xml:space="preserve">2) в </w:t>
      </w:r>
      <w:hyperlink w:history="1" r:id="rIdgre02xx98lxm1gfgdaqa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 утвержденном вышеуказанным </w:t>
      </w:r>
      <w:hyperlink w:history="1" r:id="rId-ffrho3x61lvzf3bdaqz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w:t>
      </w:r>
      <w:hyperlink w:history="1" r:id="rIdzl8yato2mlkqkwpvofubk">
        <w:r>
          <w:rPr>
            <w:rFonts w:ascii="Arial" w:cs="Arial" w:eastAsia="Arial" w:hAnsi="Arial"/>
            <w:color w:val="1D4ED8"/>
            <w:sz w:val="24"/>
            <w:szCs w:val="24"/>
            <w:u w:val="single"/>
          </w:rPr>
          <w:t xml:space="preserve">пункте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абзацы третий, четвертый, пятый изложить в следующей редакции:</w:t>
      </w:r>
    </w:p>
    <w:p>
      <w:pPr>
        <w:spacing w:after="120"/>
        <w:ind w:firstLine="397"/>
        <w:jc w:val="both"/>
      </w:pPr>
      <w:r>
        <w:rPr>
          <w:rFonts w:ascii="Arial" w:cs="Arial" w:eastAsia="Arial" w:hAnsi="Arial"/>
          <w:sz w:val="24"/>
          <w:szCs w:val="24"/>
        </w:rPr>
        <w:t xml:space="preserve">«государственная регистрация эмиссии и публичного размещения виртуальных активов – присвоение выпуску виртуальных активов государственного регистрационного номера, сопровождающееся государственной регистрацией белой бумаги (white paper) выпуска виртуальных активов, а также внесение сведений об этом, в том числе о виртуальных активах, их эмитенте, в Единый государственный реестр эмиссий виртуальных активов;</w:t>
      </w:r>
    </w:p>
    <w:p>
      <w:pPr>
        <w:spacing w:after="120"/>
        <w:ind w:firstLine="397"/>
        <w:jc w:val="both"/>
      </w:pPr>
      <w:r>
        <w:rPr>
          <w:rFonts w:ascii="Arial" w:cs="Arial" w:eastAsia="Arial" w:hAnsi="Arial"/>
          <w:sz w:val="24"/>
          <w:szCs w:val="24"/>
        </w:rPr>
        <w:t xml:space="preserve">номинальная стоимость виртуального актива – стоимость (цена) виртуального актива, выраженная в национальной или иностранной валюте по решению эмитента виртуальных активов, по которой виртуальный актив заявлен к размещению;</w:t>
      </w:r>
    </w:p>
    <w:p>
      <w:pPr>
        <w:spacing w:after="120"/>
        <w:ind w:firstLine="397"/>
        <w:jc w:val="both"/>
      </w:pPr>
      <w:r>
        <w:rPr>
          <w:rFonts w:ascii="Arial" w:cs="Arial" w:eastAsia="Arial" w:hAnsi="Arial"/>
          <w:sz w:val="24"/>
          <w:szCs w:val="24"/>
        </w:rPr>
        <w:t xml:space="preserve">залоговая стоимость – стоимость актива, используемого в качестве залога;»;</w:t>
      </w:r>
    </w:p>
    <w:p>
      <w:pPr>
        <w:spacing w:after="120"/>
        <w:ind w:firstLine="397"/>
        <w:jc w:val="both"/>
      </w:pPr>
      <w:r>
        <w:rPr>
          <w:rFonts w:ascii="Arial" w:cs="Arial" w:eastAsia="Arial" w:hAnsi="Arial"/>
          <w:sz w:val="24"/>
          <w:szCs w:val="24"/>
        </w:rPr>
        <w:t xml:space="preserve">абзац девятый признать утратившим силу;</w:t>
      </w:r>
    </w:p>
    <w:p>
      <w:pPr>
        <w:spacing w:after="120"/>
        <w:ind w:firstLine="397"/>
        <w:jc w:val="both"/>
      </w:pPr>
      <w:r>
        <w:rPr>
          <w:rFonts w:ascii="Arial" w:cs="Arial" w:eastAsia="Arial" w:hAnsi="Arial"/>
          <w:sz w:val="24"/>
          <w:szCs w:val="24"/>
        </w:rPr>
        <w:t xml:space="preserve">– </w:t>
      </w:r>
      <w:hyperlink w:history="1" r:id="rIdie8o4gaukmjfhglhdctjc">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Государственная регистрация эмиссии и публичного размещения виртуальных активов, а также ведение Единого государственного реестра эмиссий виртуальных активов осуществляются уполномоченным государственным органом Кыргызской Республики.»;</w:t>
      </w:r>
    </w:p>
    <w:p>
      <w:pPr>
        <w:spacing w:after="120"/>
        <w:ind w:firstLine="397"/>
        <w:jc w:val="both"/>
      </w:pPr>
      <w:r>
        <w:rPr>
          <w:rFonts w:ascii="Arial" w:cs="Arial" w:eastAsia="Arial" w:hAnsi="Arial"/>
          <w:sz w:val="24"/>
          <w:szCs w:val="24"/>
        </w:rPr>
        <w:t xml:space="preserve">– </w:t>
      </w:r>
      <w:hyperlink w:history="1" r:id="rIdnmoyv-7qdtg7i7kvjhp2r">
        <w:r>
          <w:rPr>
            <w:rFonts w:ascii="Arial" w:cs="Arial" w:eastAsia="Arial" w:hAnsi="Arial"/>
            <w:color w:val="1D4ED8"/>
            <w:sz w:val="24"/>
            <w:szCs w:val="24"/>
            <w:u w:val="single"/>
          </w:rPr>
          <w:t xml:space="preserve">главу 1</w:t>
        </w:r>
      </w:hyperlink>
      <w:r>
        <w:rPr>
          <w:rFonts w:ascii="Arial" w:cs="Arial" w:eastAsia="Arial" w:hAnsi="Arial"/>
          <w:sz w:val="24"/>
          <w:szCs w:val="24"/>
        </w:rPr>
        <w:t xml:space="preserve"> дополнить пунктами </w:t>
      </w:r>
      <w:hyperlink w:history="1" r:id="rId9bxmkpjkq56tjwgqiuq_g">
        <w:r>
          <w:rPr>
            <w:rFonts w:ascii="Arial" w:cs="Arial" w:eastAsia="Arial" w:hAnsi="Arial"/>
            <w:color w:val="1D4ED8"/>
            <w:sz w:val="24"/>
            <w:szCs w:val="24"/>
            <w:u w:val="single"/>
          </w:rPr>
          <w:t xml:space="preserve">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jgvl41bzy60tdjg4lqurl">
        <w:r>
          <w:rPr>
            <w:rFonts w:ascii="Arial" w:cs="Arial" w:eastAsia="Arial" w:hAnsi="Arial"/>
            <w:color w:val="1D4ED8"/>
            <w:sz w:val="24"/>
            <w:szCs w:val="24"/>
            <w:u w:val="single"/>
          </w:rPr>
          <w:t xml:space="preserve">3</w:t>
        </w:r>
        <w:r>
          <w:rPr>
            <w:rFonts w:ascii="Arial" w:cs="Arial" w:eastAsia="Arial" w:hAnsi="Arial"/>
            <w:color w:val="1D4ED8"/>
            <w:sz w:val="24"/>
            <w:szCs w:val="24"/>
            <w:u w:val="single"/>
          </w:rPr>
          <w:t xml:space="preserve">11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На территории Кыргызской Республики запрещается выпуск не обеспеченных виртуальных активов.</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При выпуске виртуальных активов их эмитент вправе назначить управляющего залогом в интересах лиц, зарегистрированных в качестве владельцев в реестре держателей виртуальных активов. Управляющий залогом не может быть аффилированным лицом по отношению к эмитенту виртуальных активов и по отношению к любому кредитору эмитента, размер обязательств эмитента перед которым превышает 10 процентов от балансовой стоимости его активов.</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3</w:t>
      </w:r>
      <w:r>
        <w:rPr>
          <w:rFonts w:ascii="Arial" w:cs="Arial" w:eastAsia="Arial" w:hAnsi="Arial"/>
          <w:sz w:val="24"/>
          <w:szCs w:val="24"/>
        </w:rPr>
        <w:t xml:space="preserve">. В случае если обеспечение и/или залог по виртуальным активам предоставлены третьим лицом, решение о выпуске и размещении виртуальных активов и белая бумага (white paper) должны быть подписаны также лицом, предоставившим такое обеспечение и/или залог.</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 Предметом залога виртуальных активов могут быть активы эмитента виртуальных активов, указанные в пункте 3</w:t>
      </w:r>
      <w:r>
        <w:rPr>
          <w:rFonts w:ascii="Arial" w:cs="Arial" w:eastAsia="Arial" w:hAnsi="Arial"/>
          <w:sz w:val="24"/>
          <w:szCs w:val="24"/>
        </w:rPr>
        <w:t xml:space="preserve">5</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5</w:t>
      </w:r>
      <w:r>
        <w:rPr>
          <w:rFonts w:ascii="Arial" w:cs="Arial" w:eastAsia="Arial" w:hAnsi="Arial"/>
          <w:sz w:val="24"/>
          <w:szCs w:val="24"/>
        </w:rPr>
        <w:t xml:space="preserve">. Структура и состав предмета залога по виртуальным активам:</w:t>
      </w:r>
    </w:p>
    <w:p>
      <w:pPr>
        <w:spacing w:after="120"/>
        <w:ind w:firstLine="397"/>
        <w:jc w:val="both"/>
      </w:pPr>
      <w:r>
        <w:rPr>
          <w:rFonts w:ascii="Arial" w:cs="Arial" w:eastAsia="Arial" w:hAnsi="Arial"/>
          <w:sz w:val="24"/>
          <w:szCs w:val="24"/>
        </w:rPr>
        <w:t xml:space="preserve">1) виртуальные активы могут быть обеспечены залогом государственных ценных бумаг – не менее 100 процентов от объема эмиссии виртуальных активов, при этом в целях обеспечения залогом эмиссии виртуальных активов залоговая стоимость таких ценных бумаг принимается не более 100 процентов от оценочной стоимости этих ценных бумаг;</w:t>
      </w:r>
    </w:p>
    <w:p>
      <w:pPr>
        <w:spacing w:after="120"/>
        <w:ind w:firstLine="397"/>
        <w:jc w:val="both"/>
      </w:pPr>
      <w:r>
        <w:rPr>
          <w:rFonts w:ascii="Arial" w:cs="Arial" w:eastAsia="Arial" w:hAnsi="Arial"/>
          <w:sz w:val="24"/>
          <w:szCs w:val="24"/>
        </w:rPr>
        <w:t xml:space="preserve">2) виртуальные активы могут быть обеспечены залогом ценных бумаг эмитентов Кыргызской Республики, созданных в форме открытых акционерных обществ, прошедших листинг у лицензированного организатора торгов по наивысшей и следующей за наивысшей категориям – не менее 100 процентов от объема эмиссии виртуальных активов, при этом в целях обеспечения залогом эмиссии виртуальных активов залоговая стоимость таких ценных бумаг принимается не более 80 процентов от оценочной стоимости ценных бумаг;</w:t>
      </w:r>
    </w:p>
    <w:p>
      <w:pPr>
        <w:spacing w:after="120"/>
        <w:ind w:firstLine="397"/>
        <w:jc w:val="both"/>
      </w:pPr>
      <w:r>
        <w:rPr>
          <w:rFonts w:ascii="Arial" w:cs="Arial" w:eastAsia="Arial" w:hAnsi="Arial"/>
          <w:sz w:val="24"/>
          <w:szCs w:val="24"/>
        </w:rPr>
        <w:t xml:space="preserve">3) виртуальные активы могут быть обеспечены залогом права на разработку полезных ископаемых, принадлежащего юридическому лицу – не менее 100 процентов от объема эмиссии виртуальных активов, при этом залоговая стоимость такого права принимается не более 50 процентов от оценочной стоимости права на разработку полезных ископаемых согласно независимой оценочной стоимости;</w:t>
      </w:r>
    </w:p>
    <w:p>
      <w:pPr>
        <w:spacing w:after="120"/>
        <w:ind w:firstLine="397"/>
        <w:jc w:val="both"/>
      </w:pPr>
      <w:r>
        <w:rPr>
          <w:rFonts w:ascii="Arial" w:cs="Arial" w:eastAsia="Arial" w:hAnsi="Arial"/>
          <w:sz w:val="24"/>
          <w:szCs w:val="24"/>
        </w:rPr>
        <w:t xml:space="preserve">4) виртуальные активы могут быть обеспечены залогом денежных средств в национальной и иностранной валютах – не менее 100 процентов, при этом залоговая стоимость денежных средств в национальной и иностранной валютах принимается в размере  100 процентов от их номинальной стоимости;</w:t>
      </w:r>
    </w:p>
    <w:p>
      <w:pPr>
        <w:spacing w:after="120"/>
        <w:ind w:firstLine="397"/>
        <w:jc w:val="both"/>
      </w:pPr>
      <w:r>
        <w:rPr>
          <w:rFonts w:ascii="Arial" w:cs="Arial" w:eastAsia="Arial" w:hAnsi="Arial"/>
          <w:sz w:val="24"/>
          <w:szCs w:val="24"/>
        </w:rPr>
        <w:t xml:space="preserve">5) виртуальные активы могут быть обеспечены залогом золота – не менее 30 процентов, при этом залоговая стоимость золота принимается в размере 100 процентов от оценочной стоимости золота согласно независимой оценочной стоимости.</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6</w:t>
      </w:r>
      <w:r>
        <w:rPr>
          <w:rFonts w:ascii="Arial" w:cs="Arial" w:eastAsia="Arial" w:hAnsi="Arial"/>
          <w:sz w:val="24"/>
          <w:szCs w:val="24"/>
        </w:rPr>
        <w:t xml:space="preserve">. Имущество, являющееся предметом обеспечения и/или залога по виртуальным активам, подлежит оценке независимым оценщиком не позднее чем за один месяц до подачи документов в уполномоченный государственный орган для регистрации эмиссии и публичного размещения виртуальных активов. Оценка залоговой стоимости считается актуальной в течение шести месяцев. </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7</w:t>
      </w:r>
      <w:r>
        <w:rPr>
          <w:rFonts w:ascii="Arial" w:cs="Arial" w:eastAsia="Arial" w:hAnsi="Arial"/>
          <w:sz w:val="24"/>
          <w:szCs w:val="24"/>
        </w:rPr>
        <w:t xml:space="preserve">. Решение о выпуске и размещении виртуальных активов в случае, если предметом залога выступает недвижимое имущество, подлежит регистрации в уполномоченном государственном органе по регистрации прав на недвижимое имущество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8</w:t>
      </w:r>
      <w:r>
        <w:rPr>
          <w:rFonts w:ascii="Arial" w:cs="Arial" w:eastAsia="Arial" w:hAnsi="Arial"/>
          <w:sz w:val="24"/>
          <w:szCs w:val="24"/>
        </w:rPr>
        <w:t xml:space="preserve">. Решение о выпуске и размещении виртуальных активов в случае, если предметом залога выступают ценные бумаги, подлежит регистрации соответствующим независимым реестродержателем либо депозитарием, где ценные бумаги, являющиеся предметом залога, депонированы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9</w:t>
      </w:r>
      <w:r>
        <w:rPr>
          <w:rFonts w:ascii="Arial" w:cs="Arial" w:eastAsia="Arial" w:hAnsi="Arial"/>
          <w:sz w:val="24"/>
          <w:szCs w:val="24"/>
        </w:rPr>
        <w:t xml:space="preserve">. Решение о выпуске и размещении виртуальных активов в случае, если предметом залога выступают золото, денежные средства и право на разработку месторождения, подлежит регистрации оператором торгов виртуальных активов (криптобиржей) или банком, где данное имущество, являющееся предметом залога, депонировано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10</w:t>
      </w:r>
      <w:r>
        <w:rPr>
          <w:rFonts w:ascii="Arial" w:cs="Arial" w:eastAsia="Arial" w:hAnsi="Arial"/>
          <w:sz w:val="24"/>
          <w:szCs w:val="24"/>
        </w:rPr>
        <w:t xml:space="preserve">. Государственная регистрация эмиссии и публичного размещения виртуальных активов до регистрации залогового обеспечения по ним запрещается. </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11</w:t>
      </w:r>
      <w:r>
        <w:rPr>
          <w:rFonts w:ascii="Arial" w:cs="Arial" w:eastAsia="Arial" w:hAnsi="Arial"/>
          <w:sz w:val="24"/>
          <w:szCs w:val="24"/>
        </w:rPr>
        <w:t xml:space="preserve">. В случае неисполнения или ненадлежащего исполнения обязательств эмитентом виртуальных активов перед их владельцами последние имеют право письменно обратиться к управляющему залогом </w:t>
      </w:r>
      <w:r>
        <w:rPr>
          <w:rFonts w:ascii="Arial" w:cs="Arial" w:eastAsia="Arial" w:hAnsi="Arial"/>
          <w:sz w:val="24"/>
          <w:szCs w:val="24"/>
        </w:rPr>
        <w:t xml:space="preserve">(если такой управляющий был назначен), </w:t>
      </w:r>
      <w:r>
        <w:rPr>
          <w:rFonts w:ascii="Arial" w:cs="Arial" w:eastAsia="Arial" w:hAnsi="Arial"/>
          <w:sz w:val="24"/>
          <w:szCs w:val="24"/>
        </w:rPr>
        <w:t xml:space="preserve">который обязан не позднее 5 рабочих дней предпринять следующие действия:</w:t>
      </w:r>
    </w:p>
    <w:p>
      <w:pPr>
        <w:spacing w:after="120"/>
        <w:ind w:firstLine="397"/>
        <w:jc w:val="both"/>
      </w:pPr>
      <w:r>
        <w:rPr>
          <w:rFonts w:ascii="Arial" w:cs="Arial" w:eastAsia="Arial" w:hAnsi="Arial"/>
          <w:sz w:val="24"/>
          <w:szCs w:val="24"/>
        </w:rPr>
        <w:t xml:space="preserve">– обратиться с письменным требованием к эмитенту виртуальных активов о разъяснении текущей ситуации по исполнению эмитентом обязательств и в случае, если исполнение таких обязательств имеет просрочку, в письменном виде заявить эмитенту требование по устранению такой просрочки в срок не позднее 10 рабочих дней; </w:t>
      </w:r>
    </w:p>
    <w:p>
      <w:pPr>
        <w:spacing w:after="120"/>
        <w:ind w:firstLine="397"/>
        <w:jc w:val="both"/>
      </w:pPr>
      <w:r>
        <w:rPr>
          <w:rFonts w:ascii="Arial" w:cs="Arial" w:eastAsia="Arial" w:hAnsi="Arial"/>
          <w:sz w:val="24"/>
          <w:szCs w:val="24"/>
        </w:rPr>
        <w:t xml:space="preserve">– начать предусмотренные законодательством Кыргызской Республики действия по обращению взыскания на предмет залога, если управляющий залогом в течение 3 рабочих дней не получил от эмитента ответа на заявленное требование о разъяснении текущей ситуации, либо эмитент, которому заявлено требование о погашении просроченной задолженности по виртуальным активам, в 10-дневный срок их не исполнил.</w:t>
      </w:r>
    </w:p>
    <w:p>
      <w:pPr>
        <w:spacing w:after="120"/>
        <w:ind w:firstLine="397"/>
        <w:jc w:val="both"/>
      </w:pPr>
      <w:r>
        <w:rPr>
          <w:rFonts w:ascii="Arial" w:cs="Arial" w:eastAsia="Arial" w:hAnsi="Arial"/>
          <w:sz w:val="24"/>
          <w:szCs w:val="24"/>
        </w:rPr>
        <w:t xml:space="preserve">Управляющий залогом (если такой управляющий был назначен) обязан отслеживать ситуацию по исполнению эмитентом виртуальных активов обязательств перед их владельцами и предпринять действия, указанные в настоящем пункте, в случае отсутствия владельцев виртуальных активов по истечении не более 30 календарных дней с даты, когда имело место полное или частичное неисполнение эмитентом виртуальных активов своих обязательств перед их владельцами.».</w:t>
      </w:r>
    </w:p>
    <w:p>
      <w:pPr>
        <w:spacing w:after="120"/>
        <w:ind w:firstLine="397"/>
        <w:jc w:val="both"/>
      </w:pPr>
      <w:r>
        <w:rPr>
          <w:rFonts w:ascii="Arial" w:cs="Arial" w:eastAsia="Arial" w:hAnsi="Arial"/>
          <w:sz w:val="24"/>
          <w:szCs w:val="24"/>
        </w:rPr>
        <w:t xml:space="preserve">– пункты </w:t>
      </w:r>
      <w:hyperlink w:history="1" r:id="rIdenqxro52kvv-h9kf4cibb">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ryal51bwoiddnwcbjwqfn">
        <w:r>
          <w:rPr>
            <w:rFonts w:ascii="Arial" w:cs="Arial" w:eastAsia="Arial" w:hAnsi="Arial"/>
            <w:color w:val="1D4ED8"/>
            <w:sz w:val="24"/>
            <w:szCs w:val="24"/>
            <w:u w:val="single"/>
          </w:rPr>
          <w:t xml:space="preserve">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«4. Процедура эмиссии и публичного размещения виртуальных активов включает следующие этапы:</w:t>
      </w:r>
    </w:p>
    <w:p>
      <w:pPr>
        <w:spacing w:after="120"/>
        <w:ind w:firstLine="397"/>
        <w:jc w:val="both"/>
      </w:pPr>
      <w:r>
        <w:rPr>
          <w:rFonts w:ascii="Arial" w:cs="Arial" w:eastAsia="Arial" w:hAnsi="Arial"/>
          <w:sz w:val="24"/>
          <w:szCs w:val="24"/>
        </w:rPr>
        <w:t xml:space="preserve">1) принятие эмитентом решения о выпуске и размещении виртуальных активов;</w:t>
      </w:r>
    </w:p>
    <w:p>
      <w:pPr>
        <w:spacing w:after="120"/>
        <w:ind w:firstLine="397"/>
        <w:jc w:val="both"/>
      </w:pPr>
      <w:r>
        <w:rPr>
          <w:rFonts w:ascii="Arial" w:cs="Arial" w:eastAsia="Arial" w:hAnsi="Arial"/>
          <w:sz w:val="24"/>
          <w:szCs w:val="24"/>
        </w:rPr>
        <w:t xml:space="preserve">2) утверждение эмитентом белой бумаги (white paper);</w:t>
      </w:r>
    </w:p>
    <w:p>
      <w:pPr>
        <w:spacing w:after="120"/>
        <w:ind w:firstLine="397"/>
        <w:jc w:val="both"/>
      </w:pPr>
      <w:r>
        <w:rPr>
          <w:rFonts w:ascii="Arial" w:cs="Arial" w:eastAsia="Arial" w:hAnsi="Arial"/>
          <w:sz w:val="24"/>
          <w:szCs w:val="24"/>
        </w:rPr>
        <w:t xml:space="preserve">3) государственная регистрация эмиссии и публичного размещения виртуальных активов в уполномоченном государственном органе;</w:t>
      </w:r>
    </w:p>
    <w:p>
      <w:pPr>
        <w:spacing w:after="120"/>
        <w:ind w:firstLine="397"/>
        <w:jc w:val="both"/>
      </w:pPr>
      <w:r>
        <w:rPr>
          <w:rFonts w:ascii="Arial" w:cs="Arial" w:eastAsia="Arial" w:hAnsi="Arial"/>
          <w:sz w:val="24"/>
          <w:szCs w:val="24"/>
        </w:rPr>
        <w:t xml:space="preserve">4) раскрытие информации о публичном предложении виртуальных активов;</w:t>
      </w:r>
    </w:p>
    <w:p>
      <w:pPr>
        <w:spacing w:after="120"/>
        <w:ind w:firstLine="397"/>
        <w:jc w:val="both"/>
      </w:pPr>
      <w:r>
        <w:rPr>
          <w:rFonts w:ascii="Arial" w:cs="Arial" w:eastAsia="Arial" w:hAnsi="Arial"/>
          <w:sz w:val="24"/>
          <w:szCs w:val="24"/>
        </w:rPr>
        <w:t xml:space="preserve">5) размещение виртуальных активов;</w:t>
      </w:r>
    </w:p>
    <w:p>
      <w:pPr>
        <w:spacing w:after="120"/>
        <w:ind w:firstLine="397"/>
        <w:jc w:val="both"/>
      </w:pPr>
      <w:r>
        <w:rPr>
          <w:rFonts w:ascii="Arial" w:cs="Arial" w:eastAsia="Arial" w:hAnsi="Arial"/>
          <w:sz w:val="24"/>
          <w:szCs w:val="24"/>
        </w:rPr>
        <w:t xml:space="preserve">6) признание итогов выпуска виртуальных активов состоявшимися или несостоявшимися.</w:t>
      </w:r>
    </w:p>
    <w:p>
      <w:pPr>
        <w:spacing w:after="120"/>
        <w:ind w:firstLine="397"/>
        <w:jc w:val="both"/>
      </w:pPr>
      <w:r>
        <w:rPr>
          <w:rFonts w:ascii="Arial" w:cs="Arial" w:eastAsia="Arial" w:hAnsi="Arial"/>
          <w:sz w:val="24"/>
          <w:szCs w:val="24"/>
        </w:rPr>
        <w:t xml:space="preserve">5. Решением о выпуске и размещении виртуальных активов должны быть определены:</w:t>
      </w:r>
    </w:p>
    <w:p>
      <w:pPr>
        <w:spacing w:after="120"/>
        <w:ind w:firstLine="397"/>
        <w:jc w:val="both"/>
      </w:pPr>
      <w:r>
        <w:rPr>
          <w:rFonts w:ascii="Arial" w:cs="Arial" w:eastAsia="Arial" w:hAnsi="Arial"/>
          <w:sz w:val="24"/>
          <w:szCs w:val="24"/>
        </w:rPr>
        <w:t xml:space="preserve">1) количество виртуальных активов;</w:t>
      </w:r>
    </w:p>
    <w:p>
      <w:pPr>
        <w:spacing w:after="120"/>
        <w:ind w:firstLine="397"/>
        <w:jc w:val="both"/>
      </w:pPr>
      <w:r>
        <w:rPr>
          <w:rFonts w:ascii="Arial" w:cs="Arial" w:eastAsia="Arial" w:hAnsi="Arial"/>
          <w:sz w:val="24"/>
          <w:szCs w:val="24"/>
        </w:rPr>
        <w:t xml:space="preserve">2) номинальная стоимость одного виртуального актива;</w:t>
      </w:r>
    </w:p>
    <w:p>
      <w:pPr>
        <w:spacing w:after="120"/>
        <w:ind w:firstLine="397"/>
        <w:jc w:val="both"/>
      </w:pPr>
      <w:r>
        <w:rPr>
          <w:rFonts w:ascii="Arial" w:cs="Arial" w:eastAsia="Arial" w:hAnsi="Arial"/>
          <w:sz w:val="24"/>
          <w:szCs w:val="24"/>
        </w:rPr>
        <w:t xml:space="preserve">3) сроки и условия размещения виртуальных активов, в том числе в период предварительной продажи с дисконтом от номинальной стоимости виртуального актива;</w:t>
      </w:r>
    </w:p>
    <w:p>
      <w:pPr>
        <w:spacing w:after="120"/>
        <w:ind w:firstLine="397"/>
        <w:jc w:val="both"/>
      </w:pPr>
      <w:r>
        <w:rPr>
          <w:rFonts w:ascii="Arial" w:cs="Arial" w:eastAsia="Arial" w:hAnsi="Arial"/>
          <w:sz w:val="24"/>
          <w:szCs w:val="24"/>
        </w:rPr>
        <w:t xml:space="preserve">4) условия обращения виртуального актива (срок обращения, условия обмена и возврата, возможность и условия погашения, передачи виртуальных активов третьим лицам);</w:t>
      </w:r>
    </w:p>
    <w:p>
      <w:pPr>
        <w:spacing w:after="120"/>
        <w:ind w:firstLine="397"/>
        <w:jc w:val="both"/>
      </w:pPr>
      <w:r>
        <w:rPr>
          <w:rFonts w:ascii="Arial" w:cs="Arial" w:eastAsia="Arial" w:hAnsi="Arial"/>
          <w:sz w:val="24"/>
          <w:szCs w:val="24"/>
        </w:rPr>
        <w:t xml:space="preserve">5) название блокчейна, адрес кошелька эмитента виртуальных активов и смарт-контракта;</w:t>
      </w:r>
    </w:p>
    <w:p>
      <w:pPr>
        <w:spacing w:after="120"/>
        <w:ind w:firstLine="397"/>
        <w:jc w:val="both"/>
      </w:pPr>
      <w:r>
        <w:rPr>
          <w:rFonts w:ascii="Arial" w:cs="Arial" w:eastAsia="Arial" w:hAnsi="Arial"/>
          <w:sz w:val="24"/>
          <w:szCs w:val="24"/>
        </w:rPr>
        <w:t xml:space="preserve">6) сведения о стоимости имущества, выставляемого в обеспечение, и залог выпуска виртуальных активов;</w:t>
      </w:r>
    </w:p>
    <w:p>
      <w:pPr>
        <w:spacing w:after="120"/>
        <w:ind w:firstLine="397"/>
        <w:jc w:val="both"/>
      </w:pPr>
      <w:r>
        <w:rPr>
          <w:rFonts w:ascii="Arial" w:cs="Arial" w:eastAsia="Arial" w:hAnsi="Arial"/>
          <w:sz w:val="24"/>
          <w:szCs w:val="24"/>
        </w:rPr>
        <w:t xml:space="preserve">7) сведения об управляющем залогом (если такой управляющий был назначен);</w:t>
      </w:r>
    </w:p>
    <w:p>
      <w:pPr>
        <w:spacing w:after="120"/>
        <w:ind w:firstLine="397"/>
        <w:jc w:val="both"/>
      </w:pPr>
      <w:r>
        <w:rPr>
          <w:rFonts w:ascii="Arial" w:cs="Arial" w:eastAsia="Arial" w:hAnsi="Arial"/>
          <w:sz w:val="24"/>
          <w:szCs w:val="24"/>
        </w:rPr>
        <w:t xml:space="preserve">8) условия об отказе залогодателя от заложенного имущества в пользу владельцев виртуальных активов.</w:t>
      </w:r>
    </w:p>
    <w:p>
      <w:pPr>
        <w:spacing w:after="120"/>
        <w:ind w:firstLine="397"/>
        <w:jc w:val="both"/>
      </w:pPr>
      <w:r>
        <w:rPr>
          <w:rFonts w:ascii="Arial" w:cs="Arial" w:eastAsia="Arial" w:hAnsi="Arial"/>
          <w:sz w:val="24"/>
          <w:szCs w:val="24"/>
        </w:rPr>
        <w:t xml:space="preserve">Решение о выпуске и размещении виртуальных активов оформляется по форме согласно </w:t>
      </w:r>
      <w:hyperlink w:history="1" r:id="rId1mxng3t5rfn055k9fkn9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 в наименовании глав </w:t>
      </w:r>
      <w:hyperlink w:history="1" r:id="rIds_wkghmm6tzkqlld0dcak">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uywa_ii45cicmsnvz3cfe">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vehnc27lh4fyodnvjak_4">
        <w:r>
          <w:rPr>
            <w:rFonts w:ascii="Arial" w:cs="Arial" w:eastAsia="Arial" w:hAnsi="Arial"/>
            <w:color w:val="1D4ED8"/>
            <w:sz w:val="24"/>
            <w:szCs w:val="24"/>
            <w:u w:val="single"/>
          </w:rPr>
          <w:t xml:space="preserve">7</w:t>
        </w:r>
      </w:hyperlink>
      <w:r>
        <w:rPr>
          <w:rFonts w:ascii="Arial" w:cs="Arial" w:eastAsia="Arial" w:hAnsi="Arial"/>
          <w:sz w:val="24"/>
          <w:szCs w:val="24"/>
        </w:rPr>
        <w:t xml:space="preserve">, в пунктах </w:t>
      </w:r>
      <w:hyperlink w:history="1" r:id="rIdlr0iux9hhwdaahhr59fp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xd2jupsrweq90k_ao-pzz">
        <w:r>
          <w:rPr>
            <w:rFonts w:ascii="Arial" w:cs="Arial" w:eastAsia="Arial" w:hAnsi="Arial"/>
            <w:color w:val="1D4ED8"/>
            <w:sz w:val="24"/>
            <w:szCs w:val="24"/>
            <w:u w:val="single"/>
          </w:rPr>
          <w:t xml:space="preserve">15</w:t>
        </w:r>
      </w:hyperlink>
      <w:r>
        <w:rPr>
          <w:rFonts w:ascii="Arial" w:cs="Arial" w:eastAsia="Arial" w:hAnsi="Arial"/>
          <w:sz w:val="24"/>
          <w:szCs w:val="24"/>
        </w:rPr>
        <w:t xml:space="preserve">–</w:t>
      </w:r>
      <w:hyperlink w:history="1" r:id="rIdvf27tj-klme9meof4dmo3">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yfdih1cpimyqnq0s_1ysc">
        <w:r>
          <w:rPr>
            <w:rFonts w:ascii="Arial" w:cs="Arial" w:eastAsia="Arial" w:hAnsi="Arial"/>
            <w:color w:val="1D4ED8"/>
            <w:sz w:val="24"/>
            <w:szCs w:val="24"/>
            <w:u w:val="single"/>
          </w:rPr>
          <w:t xml:space="preserve">28</w:t>
        </w:r>
      </w:hyperlink>
      <w:r>
        <w:rPr>
          <w:rFonts w:ascii="Arial" w:cs="Arial" w:eastAsia="Arial" w:hAnsi="Arial"/>
          <w:sz w:val="24"/>
          <w:szCs w:val="24"/>
        </w:rPr>
        <w:t xml:space="preserve"> слово «выпуска» заменить словами «эмиссии и публичного размещения»;</w:t>
      </w:r>
    </w:p>
    <w:p>
      <w:pPr>
        <w:spacing w:after="120"/>
        <w:ind w:firstLine="397"/>
        <w:jc w:val="both"/>
      </w:pPr>
      <w:r>
        <w:rPr>
          <w:rFonts w:ascii="Arial" w:cs="Arial" w:eastAsia="Arial" w:hAnsi="Arial"/>
          <w:sz w:val="24"/>
          <w:szCs w:val="24"/>
        </w:rPr>
        <w:t xml:space="preserve">– </w:t>
      </w:r>
      <w:hyperlink w:history="1" r:id="rIdprjsvgfo0b_yowwjeb3iu">
        <w:r>
          <w:rPr>
            <w:rFonts w:ascii="Arial" w:cs="Arial" w:eastAsia="Arial" w:hAnsi="Arial"/>
            <w:color w:val="1D4ED8"/>
            <w:sz w:val="24"/>
            <w:szCs w:val="24"/>
            <w:u w:val="single"/>
          </w:rPr>
          <w:t xml:space="preserve">пункт 8</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 пункты </w:t>
      </w:r>
      <w:hyperlink w:history="1" r:id="rId4e-0_idnr0funqygtpncn">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hyperlink w:history="1" r:id="rIdbxexhls_pirav4fymyani">
        <w:r>
          <w:rPr>
            <w:rFonts w:ascii="Arial" w:cs="Arial" w:eastAsia="Arial" w:hAnsi="Arial"/>
            <w:color w:val="1D4ED8"/>
            <w:sz w:val="24"/>
            <w:szCs w:val="24"/>
            <w:u w:val="single"/>
          </w:rPr>
          <w:t xml:space="preserve">11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«9. Для государственной регистрации эмиссии и публичного размещения виртуальных активов эмитент представляет в уполномоченный государственный орган следующие документы:</w:t>
      </w:r>
    </w:p>
    <w:p>
      <w:pPr>
        <w:spacing w:after="120"/>
        <w:ind w:firstLine="397"/>
        <w:jc w:val="both"/>
      </w:pPr>
      <w:r>
        <w:rPr>
          <w:rFonts w:ascii="Arial" w:cs="Arial" w:eastAsia="Arial" w:hAnsi="Arial"/>
          <w:sz w:val="24"/>
          <w:szCs w:val="24"/>
        </w:rPr>
        <w:t xml:space="preserve">1) заявление по форме согласно </w:t>
      </w:r>
      <w:hyperlink w:history="1" r:id="rIdeonao2ge23wnq2qfgshj4">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2) решение о выпуске и размещении виртуальных активов;</w:t>
      </w:r>
    </w:p>
    <w:p>
      <w:pPr>
        <w:spacing w:after="120"/>
        <w:ind w:firstLine="397"/>
        <w:jc w:val="both"/>
      </w:pPr>
      <w:r>
        <w:rPr>
          <w:rFonts w:ascii="Arial" w:cs="Arial" w:eastAsia="Arial" w:hAnsi="Arial"/>
          <w:sz w:val="24"/>
          <w:szCs w:val="24"/>
        </w:rPr>
        <w:t xml:space="preserve">3) белая бумага (white paper) в 3 экземплярах;</w:t>
      </w:r>
    </w:p>
    <w:p>
      <w:pPr>
        <w:spacing w:after="120"/>
        <w:ind w:firstLine="397"/>
        <w:jc w:val="both"/>
      </w:pPr>
      <w:r>
        <w:rPr>
          <w:rFonts w:ascii="Arial" w:cs="Arial" w:eastAsia="Arial" w:hAnsi="Arial"/>
          <w:sz w:val="24"/>
          <w:szCs w:val="24"/>
        </w:rPr>
        <w:t xml:space="preserve">4) название блокчейна, адрес кошелька виртуальных активов эмитента и смарт-контракта в электронной форме;</w:t>
      </w:r>
    </w:p>
    <w:p>
      <w:pPr>
        <w:spacing w:after="120"/>
        <w:ind w:firstLine="397"/>
        <w:jc w:val="both"/>
      </w:pPr>
      <w:r>
        <w:rPr>
          <w:rFonts w:ascii="Arial" w:cs="Arial" w:eastAsia="Arial" w:hAnsi="Arial"/>
          <w:sz w:val="24"/>
          <w:szCs w:val="24"/>
        </w:rPr>
        <w:t xml:space="preserve">5) копия документа, подтверждающего регистрацию эмитента в качестве юридического лица (для эмитента – юридического лица);</w:t>
      </w:r>
    </w:p>
    <w:p>
      <w:pPr>
        <w:spacing w:after="120"/>
        <w:ind w:firstLine="397"/>
        <w:jc w:val="both"/>
      </w:pPr>
      <w:r>
        <w:rPr>
          <w:rFonts w:ascii="Arial" w:cs="Arial" w:eastAsia="Arial" w:hAnsi="Arial"/>
          <w:sz w:val="24"/>
          <w:szCs w:val="24"/>
        </w:rPr>
        <w:t xml:space="preserve">6) копии учредительных документов (для эмитента – юридического лица);</w:t>
      </w:r>
    </w:p>
    <w:p>
      <w:pPr>
        <w:spacing w:after="120"/>
        <w:ind w:firstLine="397"/>
        <w:jc w:val="both"/>
      </w:pPr>
      <w:r>
        <w:rPr>
          <w:rFonts w:ascii="Arial" w:cs="Arial" w:eastAsia="Arial" w:hAnsi="Arial"/>
          <w:sz w:val="24"/>
          <w:szCs w:val="24"/>
        </w:rPr>
        <w:t xml:space="preserve">7) копия паспорта (для эмитента – физического лица);</w:t>
      </w:r>
    </w:p>
    <w:p>
      <w:pPr>
        <w:spacing w:after="120"/>
        <w:ind w:firstLine="397"/>
        <w:jc w:val="both"/>
      </w:pPr>
      <w:r>
        <w:rPr>
          <w:rFonts w:ascii="Arial" w:cs="Arial" w:eastAsia="Arial" w:hAnsi="Arial"/>
          <w:sz w:val="24"/>
          <w:szCs w:val="24"/>
        </w:rPr>
        <w:t xml:space="preserve">8) документ, подтверждающий оплату регистрационного сбора;</w:t>
      </w:r>
    </w:p>
    <w:p>
      <w:pPr>
        <w:spacing w:after="120"/>
        <w:ind w:firstLine="397"/>
        <w:jc w:val="both"/>
      </w:pPr>
      <w:r>
        <w:rPr>
          <w:rFonts w:ascii="Arial" w:cs="Arial" w:eastAsia="Arial" w:hAnsi="Arial"/>
          <w:sz w:val="24"/>
          <w:szCs w:val="24"/>
        </w:rPr>
        <w:t xml:space="preserve">9) документы, подтверждающие наличие обеспечения исполнения обязательств эмитента;</w:t>
      </w:r>
    </w:p>
    <w:p>
      <w:pPr>
        <w:spacing w:after="120"/>
        <w:ind w:firstLine="397"/>
        <w:jc w:val="both"/>
      </w:pPr>
      <w:r>
        <w:rPr>
          <w:rFonts w:ascii="Arial" w:cs="Arial" w:eastAsia="Arial" w:hAnsi="Arial"/>
          <w:sz w:val="24"/>
          <w:szCs w:val="24"/>
        </w:rPr>
        <w:t xml:space="preserve">10) копия оценки независимым оценщиком имущества, являющегося предметом обеспечения и/или залога по виртуальным активам;</w:t>
      </w:r>
    </w:p>
    <w:p>
      <w:pPr>
        <w:spacing w:after="120"/>
        <w:ind w:firstLine="397"/>
        <w:jc w:val="both"/>
      </w:pPr>
      <w:r>
        <w:rPr>
          <w:rFonts w:ascii="Arial" w:cs="Arial" w:eastAsia="Arial" w:hAnsi="Arial"/>
          <w:sz w:val="24"/>
          <w:szCs w:val="24"/>
        </w:rPr>
        <w:t xml:space="preserve">11) документ, подтверждающий регистрацию залогового обеспечения;</w:t>
      </w:r>
    </w:p>
    <w:p>
      <w:pPr>
        <w:spacing w:after="120"/>
        <w:ind w:firstLine="397"/>
        <w:jc w:val="both"/>
      </w:pPr>
      <w:r>
        <w:rPr>
          <w:rFonts w:ascii="Arial" w:cs="Arial" w:eastAsia="Arial" w:hAnsi="Arial"/>
          <w:sz w:val="24"/>
          <w:szCs w:val="24"/>
        </w:rPr>
        <w:t xml:space="preserve">12) заполненные и подписанные эмитентом или учредителями/акционерами эмитента анкеты согласно приложениям </w:t>
      </w:r>
      <w:hyperlink w:history="1" r:id="rIdahcwcxrrkee9fmvz37m2q">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ys8fv9bgru2v5osgwhqp5">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Положению либо сканированные копии заполненных анкет с последующим представлением оригинала.</w:t>
      </w:r>
    </w:p>
    <w:p>
      <w:pPr>
        <w:spacing w:after="120"/>
        <w:ind w:firstLine="397"/>
        <w:jc w:val="both"/>
      </w:pPr>
      <w:r>
        <w:rPr>
          <w:rFonts w:ascii="Arial" w:cs="Arial" w:eastAsia="Arial" w:hAnsi="Arial"/>
          <w:sz w:val="24"/>
          <w:szCs w:val="24"/>
        </w:rPr>
        <w:t xml:space="preserve">10. Уполномоченный государственный орган регистрирует эмиссию и публичное размещение виртуальных активов или принимает мотивированное решение об отказе в государственной регистрации эмиссии и публичного размещения виртуальных активов не позднее чем через 20 (двадцать) рабочих дней со дня получения документов для государственной регистрации эмиссии и публичного размещения виртуальных активов.</w:t>
      </w:r>
    </w:p>
    <w:p>
      <w:pPr>
        <w:spacing w:after="120"/>
        <w:ind w:firstLine="397"/>
        <w:jc w:val="both"/>
      </w:pPr>
      <w:r>
        <w:rPr>
          <w:rFonts w:ascii="Arial" w:cs="Arial" w:eastAsia="Arial" w:hAnsi="Arial"/>
          <w:sz w:val="24"/>
          <w:szCs w:val="24"/>
        </w:rPr>
        <w:t xml:space="preserve">11. В случае принятия решения о государственной регистрации эмиссии и публичного размещения виртуальных активов эмитенту выдается решение уполномоченного государственного органа о государственной регистрации эмиссии и публичного размещения виртуальных активов и два экземпляра зарегистрированной белой бумаги (white paper).»;</w:t>
      </w:r>
    </w:p>
    <w:p>
      <w:pPr>
        <w:spacing w:after="120"/>
        <w:ind w:firstLine="397"/>
        <w:jc w:val="both"/>
      </w:pPr>
      <w:r>
        <w:rPr>
          <w:rFonts w:ascii="Arial" w:cs="Arial" w:eastAsia="Arial" w:hAnsi="Arial"/>
          <w:sz w:val="24"/>
          <w:szCs w:val="24"/>
        </w:rPr>
        <w:t xml:space="preserve">– в </w:t>
      </w:r>
      <w:hyperlink w:history="1" r:id="rIdcw-bzb4tsgfmjnj1w1gqg">
        <w:r>
          <w:rPr>
            <w:rFonts w:ascii="Arial" w:cs="Arial" w:eastAsia="Arial" w:hAnsi="Arial"/>
            <w:color w:val="1D4ED8"/>
            <w:sz w:val="24"/>
            <w:szCs w:val="24"/>
            <w:u w:val="single"/>
          </w:rPr>
          <w:t xml:space="preserve">пункте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 второй после слова «эмиссии» дополнить словами «и публичного размещения»;</w:t>
      </w:r>
    </w:p>
    <w:p>
      <w:pPr>
        <w:spacing w:after="120"/>
        <w:ind w:firstLine="397"/>
        <w:jc w:val="both"/>
      </w:pPr>
      <w:r>
        <w:rPr>
          <w:rFonts w:ascii="Arial" w:cs="Arial" w:eastAsia="Arial" w:hAnsi="Arial"/>
          <w:sz w:val="24"/>
          <w:szCs w:val="24"/>
        </w:rPr>
        <w:t xml:space="preserve">в абзаце третьем слова «об эмиссии» заменить словами «о выпуске и размещении»;</w:t>
      </w:r>
    </w:p>
    <w:p>
      <w:pPr>
        <w:spacing w:after="120"/>
        <w:ind w:firstLine="397"/>
        <w:jc w:val="both"/>
      </w:pPr>
      <w:r>
        <w:rPr>
          <w:rFonts w:ascii="Arial" w:cs="Arial" w:eastAsia="Arial" w:hAnsi="Arial"/>
          <w:sz w:val="24"/>
          <w:szCs w:val="24"/>
        </w:rPr>
        <w:t xml:space="preserve">– </w:t>
      </w:r>
      <w:hyperlink w:history="1" r:id="rIdlfqubw4tmij7c7fjxbkui">
        <w:r>
          <w:rPr>
            <w:rFonts w:ascii="Arial" w:cs="Arial" w:eastAsia="Arial" w:hAnsi="Arial"/>
            <w:color w:val="1D4ED8"/>
            <w:sz w:val="24"/>
            <w:szCs w:val="24"/>
            <w:u w:val="single"/>
          </w:rPr>
          <w:t xml:space="preserve">пункт 20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«20. Виртуальные активы могут публично предлагаться в течение срока, установленного в белой бумаге (white paper).»;</w:t>
      </w:r>
    </w:p>
    <w:p>
      <w:pPr>
        <w:spacing w:after="120"/>
        <w:ind w:firstLine="397"/>
        <w:jc w:val="both"/>
      </w:pPr>
      <w:r>
        <w:rPr>
          <w:rFonts w:ascii="Arial" w:cs="Arial" w:eastAsia="Arial" w:hAnsi="Arial"/>
          <w:sz w:val="24"/>
          <w:szCs w:val="24"/>
        </w:rPr>
        <w:t xml:space="preserve">– пункты </w:t>
      </w:r>
      <w:hyperlink w:history="1" r:id="rIdnisjc6eieefwz6d5ygzi-">
        <w:r>
          <w:rPr>
            <w:rFonts w:ascii="Arial" w:cs="Arial" w:eastAsia="Arial" w:hAnsi="Arial"/>
            <w:color w:val="1D4ED8"/>
            <w:sz w:val="24"/>
            <w:szCs w:val="24"/>
            <w:u w:val="single"/>
          </w:rPr>
          <w:t xml:space="preserve">26</w:t>
        </w:r>
      </w:hyperlink>
      <w:r>
        <w:rPr>
          <w:rFonts w:ascii="Arial" w:cs="Arial" w:eastAsia="Arial" w:hAnsi="Arial"/>
          <w:sz w:val="24"/>
          <w:szCs w:val="24"/>
        </w:rPr>
        <w:t xml:space="preserve">, </w:t>
      </w:r>
      <w:hyperlink w:history="1" r:id="rIdjafyfzx9j7kuqcmh0vlbr">
        <w:r>
          <w:rPr>
            <w:rFonts w:ascii="Arial" w:cs="Arial" w:eastAsia="Arial" w:hAnsi="Arial"/>
            <w:color w:val="1D4ED8"/>
            <w:sz w:val="24"/>
            <w:szCs w:val="24"/>
            <w:u w:val="single"/>
          </w:rPr>
          <w:t xml:space="preserve">27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«26. За государственную регистрацию эмиссии и публичного размещения виртуальных активов взимается сбор (регистрационный сбор) в размере 0,01 процента от общей номинальной стоимости всех виртуальных активов данного выпуска по курсу на криптобиржах на момент оплаты при условии наличия торгов и котировок по данному виртуальному активу.</w:t>
      </w:r>
    </w:p>
    <w:p>
      <w:pPr>
        <w:spacing w:after="120"/>
        <w:ind w:firstLine="397"/>
        <w:jc w:val="both"/>
      </w:pPr>
      <w:r>
        <w:rPr>
          <w:rFonts w:ascii="Arial" w:cs="Arial" w:eastAsia="Arial" w:hAnsi="Arial"/>
          <w:sz w:val="24"/>
          <w:szCs w:val="24"/>
        </w:rPr>
        <w:t xml:space="preserve">27. При отсутствии торгов и котировок по данному виртуальному активу на криптобиржах за государственную регистрацию эмиссии и публичное размещение виртуальных активов взимается сбор в размере 0,01 процента от общей номинальной стоимости всех виртуальных активов данного выпуска, заявленной эмитентом виртуальных активов.»;</w:t>
      </w:r>
    </w:p>
    <w:p>
      <w:pPr>
        <w:spacing w:after="120"/>
        <w:ind w:firstLine="397"/>
        <w:jc w:val="both"/>
      </w:pPr>
      <w:r>
        <w:rPr>
          <w:rFonts w:ascii="Arial" w:cs="Arial" w:eastAsia="Arial" w:hAnsi="Arial"/>
          <w:sz w:val="24"/>
          <w:szCs w:val="24"/>
        </w:rPr>
        <w:t xml:space="preserve">– в абзаце первом </w:t>
      </w:r>
      <w:hyperlink w:history="1" r:id="rIdo6qwlt0oginscae4eefkq">
        <w:r>
          <w:rPr>
            <w:rFonts w:ascii="Arial" w:cs="Arial" w:eastAsia="Arial" w:hAnsi="Arial"/>
            <w:color w:val="1D4ED8"/>
            <w:sz w:val="24"/>
            <w:szCs w:val="24"/>
            <w:u w:val="single"/>
          </w:rPr>
          <w:t xml:space="preserve">пункта 31</w:t>
        </w:r>
      </w:hyperlink>
      <w:r>
        <w:rPr>
          <w:rFonts w:ascii="Arial" w:cs="Arial" w:eastAsia="Arial" w:hAnsi="Arial"/>
          <w:sz w:val="24"/>
          <w:szCs w:val="24"/>
        </w:rPr>
        <w:t xml:space="preserve"> слова «</w:t>
      </w:r>
      <w:hyperlink w:history="1" r:id="rIdcikojryajw2c8omjhvxf9">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заменить словами «</w:t>
      </w:r>
      <w:hyperlink w:history="1" r:id="rIdq0unr2adq10cqgucw6ucn">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абзаце третьем </w:t>
      </w:r>
      <w:hyperlink w:history="1" r:id="rIda82tr8c1yol_64orctenl">
        <w:r>
          <w:rPr>
            <w:rFonts w:ascii="Arial" w:cs="Arial" w:eastAsia="Arial" w:hAnsi="Arial"/>
            <w:color w:val="1D4ED8"/>
            <w:sz w:val="24"/>
            <w:szCs w:val="24"/>
            <w:u w:val="single"/>
          </w:rPr>
          <w:t xml:space="preserve">пункта 32</w:t>
        </w:r>
      </w:hyperlink>
      <w:r>
        <w:rPr>
          <w:rFonts w:ascii="Arial" w:cs="Arial" w:eastAsia="Arial" w:hAnsi="Arial"/>
          <w:sz w:val="24"/>
          <w:szCs w:val="24"/>
        </w:rPr>
        <w:t xml:space="preserve"> слова «выпуска и размещения» заменить словами «эмиссии и/или публичного размещения»;</w:t>
      </w:r>
    </w:p>
    <w:p>
      <w:pPr>
        <w:spacing w:after="120"/>
        <w:ind w:firstLine="397"/>
        <w:jc w:val="both"/>
      </w:pPr>
      <w:r>
        <w:rPr>
          <w:rFonts w:ascii="Arial" w:cs="Arial" w:eastAsia="Arial" w:hAnsi="Arial"/>
          <w:sz w:val="24"/>
          <w:szCs w:val="24"/>
        </w:rPr>
        <w:t xml:space="preserve">– приложения </w:t>
      </w:r>
      <w:hyperlink w:history="1" r:id="rId5tgvpulx6zeigbgk-ylve">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_sqiv6th0wzt3_pipltep">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вышеуказанному Положению изложить в редакции согласно приложениям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в наименовании </w:t>
      </w:r>
      <w:hyperlink w:history="1" r:id="rIdrwvjlu9h0h0dgjbmhhttf">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вышеуказанному Положению слово «выпуска» заменить словами «эмиссии и публичного размещения»;</w:t>
      </w:r>
    </w:p>
    <w:p>
      <w:pPr>
        <w:spacing w:after="120"/>
        <w:ind w:firstLine="397"/>
        <w:jc w:val="both"/>
      </w:pPr>
      <w:r>
        <w:rPr>
          <w:rFonts w:ascii="Arial" w:cs="Arial" w:eastAsia="Arial" w:hAnsi="Arial"/>
          <w:sz w:val="24"/>
          <w:szCs w:val="24"/>
        </w:rPr>
        <w:t xml:space="preserve">– наименование </w:t>
      </w:r>
      <w:hyperlink w:history="1" r:id="rIduuohxplsyxsw6aabx1wh8">
        <w:r>
          <w:rPr>
            <w:rFonts w:ascii="Arial" w:cs="Arial" w:eastAsia="Arial" w:hAnsi="Arial"/>
            <w:color w:val="1D4ED8"/>
            <w:sz w:val="24"/>
            <w:szCs w:val="24"/>
            <w:u w:val="single"/>
          </w:rPr>
          <w:t xml:space="preserve">приложения 6</w:t>
        </w:r>
      </w:hyperlink>
      <w:r>
        <w:rPr>
          <w:rFonts w:ascii="Arial" w:cs="Arial" w:eastAsia="Arial" w:hAnsi="Arial"/>
          <w:sz w:val="24"/>
          <w:szCs w:val="24"/>
        </w:rPr>
        <w:t xml:space="preserve"> к вышеуказанному Положению изложить в следующей редакции: «Уведомление об итогах эмиссии и/или публичного размещения виртуальных активов»;</w:t>
      </w:r>
    </w:p>
    <w:p>
      <w:pPr>
        <w:spacing w:after="120"/>
        <w:ind w:firstLine="397"/>
        <w:jc w:val="both"/>
      </w:pPr>
      <w:r>
        <w:rPr>
          <w:rFonts w:ascii="Arial" w:cs="Arial" w:eastAsia="Arial" w:hAnsi="Arial"/>
          <w:sz w:val="24"/>
          <w:szCs w:val="24"/>
        </w:rPr>
        <w:t xml:space="preserve">3) </w:t>
      </w:r>
      <w:hyperlink w:history="1" r:id="rId2vqdmyg-p8rskvv9x9r5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утвержденное вышеуказанным </w:t>
      </w:r>
      <w:hyperlink w:history="1" r:id="rIde6fhwgajphhiegux7a6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w:t>
      </w:r>
      <w:hyperlink w:history="1" r:id="rIdiji9386c6-wm14fuqyee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в </w:t>
      </w:r>
      <w:hyperlink w:history="1" r:id="rIdxntakgt9t--timaramhxa">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регистрации и выдачи сертификата для деятельности по осуществлению майнинга, утвержденном вышеуказанным </w:t>
      </w:r>
      <w:hyperlink w:history="1" r:id="rIdrnpdtl5uom8hj7lx8kdr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y2laujiq_rlphmbknbcv2">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дополнить абзацами следующего содержания:</w:t>
      </w:r>
    </w:p>
    <w:p>
      <w:pPr>
        <w:spacing w:after="120"/>
        <w:ind w:firstLine="397"/>
        <w:jc w:val="both"/>
      </w:pPr>
      <w:r>
        <w:rPr>
          <w:rFonts w:ascii="Arial" w:cs="Arial" w:eastAsia="Arial" w:hAnsi="Arial"/>
          <w:sz w:val="24"/>
          <w:szCs w:val="24"/>
        </w:rPr>
        <w:t xml:space="preserve">«Единая государственная система коллективного майнинга – информационно-технологическая платформа, предназначенная для объединения вычислительных мощностей субъектов, осуществляющих деятельность по майнингу виртуальных активов, в целях совместного формирования блоков транзакций и распределения вознаграждений в соответствии с предоставленными вычислительными ресурсами;</w:t>
      </w:r>
    </w:p>
    <w:p>
      <w:pPr>
        <w:spacing w:after="120"/>
        <w:ind w:firstLine="397"/>
        <w:jc w:val="both"/>
      </w:pPr>
      <w:r>
        <w:rPr>
          <w:rFonts w:ascii="Arial" w:cs="Arial" w:eastAsia="Arial" w:hAnsi="Arial"/>
          <w:sz w:val="24"/>
          <w:szCs w:val="24"/>
        </w:rPr>
        <w:t xml:space="preserve">участник Единой государственной системы коллективного майнинга – субъект, осуществляющий деятельность по майнингу виртуальных активов, зарегистрированный в установленном порядке и присоединивший свои вычислительные мощности к Единой государственной системе коллективного майнинга;</w:t>
      </w:r>
    </w:p>
    <w:p>
      <w:pPr>
        <w:spacing w:after="120"/>
        <w:ind w:firstLine="397"/>
        <w:jc w:val="both"/>
      </w:pPr>
      <w:r>
        <w:rPr>
          <w:rFonts w:ascii="Arial" w:cs="Arial" w:eastAsia="Arial" w:hAnsi="Arial"/>
          <w:sz w:val="24"/>
          <w:szCs w:val="24"/>
        </w:rPr>
        <w:t xml:space="preserve">личный кабинет – персонифицированный информационный раздел на платформе Единой государственной системы коллективного майнинга, доступ к которому осуществляется с использованием электронной цифровой подписи.»; </w:t>
      </w:r>
    </w:p>
    <w:p>
      <w:pPr>
        <w:spacing w:after="120"/>
        <w:ind w:firstLine="397"/>
        <w:jc w:val="both"/>
      </w:pPr>
      <w:r>
        <w:rPr>
          <w:rFonts w:ascii="Arial" w:cs="Arial" w:eastAsia="Arial" w:hAnsi="Arial"/>
          <w:sz w:val="24"/>
          <w:szCs w:val="24"/>
        </w:rPr>
        <w:t xml:space="preserve">– </w:t>
      </w:r>
      <w:hyperlink w:history="1" r:id="rIdw91azcat0qsshfivhwnah">
        <w:r>
          <w:rPr>
            <w:rFonts w:ascii="Arial" w:cs="Arial" w:eastAsia="Arial" w:hAnsi="Arial"/>
            <w:color w:val="1D4ED8"/>
            <w:sz w:val="24"/>
            <w:szCs w:val="24"/>
            <w:u w:val="single"/>
          </w:rPr>
          <w:t xml:space="preserve">главу 1</w:t>
        </w:r>
      </w:hyperlink>
      <w:r>
        <w:rPr>
          <w:rFonts w:ascii="Arial" w:cs="Arial" w:eastAsia="Arial" w:hAnsi="Arial"/>
          <w:sz w:val="24"/>
          <w:szCs w:val="24"/>
        </w:rPr>
        <w:t xml:space="preserve"> дополнить </w:t>
      </w:r>
      <w:hyperlink w:history="1" r:id="rIdmnum7fatkiasbts4cfx1v">
        <w:r>
          <w:rPr>
            <w:rFonts w:ascii="Arial" w:cs="Arial" w:eastAsia="Arial" w:hAnsi="Arial"/>
            <w:color w:val="1D4ED8"/>
            <w:sz w:val="24"/>
            <w:szCs w:val="24"/>
            <w:u w:val="single"/>
          </w:rPr>
          <w:t xml:space="preserve">пунктом 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Виртуальные активы, добытые в результате майнинга на территории Кыргызской Республики, подлежат обязательному первоначальному размещению и продаже на платформе оператора торгов виртуальных активов, лицензированных на территории Кыргызской Республики.»;</w:t>
      </w:r>
    </w:p>
    <w:p>
      <w:pPr>
        <w:spacing w:after="120"/>
        <w:ind w:firstLine="397"/>
        <w:jc w:val="both"/>
      </w:pPr>
      <w:r>
        <w:rPr>
          <w:rFonts w:ascii="Arial" w:cs="Arial" w:eastAsia="Arial" w:hAnsi="Arial"/>
          <w:sz w:val="24"/>
          <w:szCs w:val="24"/>
        </w:rPr>
        <w:t xml:space="preserve">– </w:t>
      </w:r>
      <w:hyperlink w:history="1" r:id="rId9zx6ftct_wm3idqkmhbjl">
        <w:r>
          <w:rPr>
            <w:rFonts w:ascii="Arial" w:cs="Arial" w:eastAsia="Arial" w:hAnsi="Arial"/>
            <w:color w:val="1D4ED8"/>
            <w:sz w:val="24"/>
            <w:szCs w:val="24"/>
            <w:u w:val="single"/>
          </w:rPr>
          <w:t xml:space="preserve">главу 4</w:t>
        </w:r>
      </w:hyperlink>
      <w:r>
        <w:rPr>
          <w:rFonts w:ascii="Arial" w:cs="Arial" w:eastAsia="Arial" w:hAnsi="Arial"/>
          <w:sz w:val="24"/>
          <w:szCs w:val="24"/>
        </w:rPr>
        <w:t xml:space="preserve"> дополнить </w:t>
      </w:r>
      <w:hyperlink w:history="1" r:id="rIdxvtrwpr7ppsd7orjpxojv">
        <w:r>
          <w:rPr>
            <w:rFonts w:ascii="Arial" w:cs="Arial" w:eastAsia="Arial" w:hAnsi="Arial"/>
            <w:color w:val="1D4ED8"/>
            <w:sz w:val="24"/>
            <w:szCs w:val="24"/>
            <w:u w:val="single"/>
          </w:rPr>
          <w:t xml:space="preserve">пунктом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Заявитель несет ответственность, установленную законодательством Кыргызской Республики в области административного права, за достоверность сведений, представленных в уполномоченный орган для получения лицензии, а также за своевременность уведомления уполномоченного органа об изменениях в сведениях.»;</w:t>
      </w:r>
    </w:p>
    <w:p>
      <w:pPr>
        <w:spacing w:after="120"/>
        <w:ind w:firstLine="397"/>
        <w:jc w:val="both"/>
      </w:pPr>
      <w:r>
        <w:rPr>
          <w:rFonts w:ascii="Arial" w:cs="Arial" w:eastAsia="Arial" w:hAnsi="Arial"/>
          <w:sz w:val="24"/>
          <w:szCs w:val="24"/>
        </w:rPr>
        <w:t xml:space="preserve">– </w:t>
      </w:r>
      <w:hyperlink w:history="1" r:id="rIdcu-aavpltgwqomti49mae">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дополнить </w:t>
      </w:r>
      <w:hyperlink w:history="1" r:id="rIdu8f7egvzzpsth-xx9tgy5">
        <w:r>
          <w:rPr>
            <w:rFonts w:ascii="Arial" w:cs="Arial" w:eastAsia="Arial" w:hAnsi="Arial"/>
            <w:color w:val="1D4ED8"/>
            <w:sz w:val="24"/>
            <w:szCs w:val="24"/>
            <w:u w:val="single"/>
          </w:rPr>
          <w:t xml:space="preserve">пунктом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Майнеры обязаны уведомлять уполномоченный орган об изменениях данных, указанных в документах, прилагаемых к заявлению на выдачу сертификата, не являющихся основанием для перерегистрации сертификата. Уведомление предоставляется в письменной форме не позднее 10 (десять)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орган вносит соответствующие изменения в Электронный реестр майнеров в течение 3 рабочих дней с даты поступления уведомления.»;</w:t>
      </w:r>
    </w:p>
    <w:p>
      <w:pPr>
        <w:spacing w:after="120"/>
        <w:ind w:firstLine="397"/>
        <w:jc w:val="both"/>
      </w:pPr>
      <w:r>
        <w:rPr>
          <w:rFonts w:ascii="Arial" w:cs="Arial" w:eastAsia="Arial" w:hAnsi="Arial"/>
          <w:sz w:val="24"/>
          <w:szCs w:val="24"/>
        </w:rPr>
        <w:t xml:space="preserve">дополнить главами </w:t>
      </w:r>
      <w:hyperlink w:history="1" r:id="rIdch1joisrj4ykmx3znk7dc">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hyperlink w:history="1" r:id="rId32yfnn7k8j8dpba-tltym">
        <w:r>
          <w:rPr>
            <w:rFonts w:ascii="Arial" w:cs="Arial" w:eastAsia="Arial" w:hAnsi="Arial"/>
            <w:color w:val="1D4ED8"/>
            <w:sz w:val="24"/>
            <w:szCs w:val="24"/>
            <w:u w:val="single"/>
          </w:rPr>
          <w:t xml:space="preserve">12</w:t>
        </w:r>
      </w:hyperlink>
      <w:r>
        <w:rPr>
          <w:rFonts w:ascii="Arial" w:cs="Arial" w:eastAsia="Arial" w:hAnsi="Arial"/>
          <w:sz w:val="24"/>
          <w:szCs w:val="24"/>
        </w:rPr>
        <w:t xml:space="preserve"> следующего содержания: </w:t>
      </w:r>
    </w:p>
    <w:p>
      <w:pPr>
        <w:spacing w:after="120"/>
        <w:ind w:firstLine="397"/>
        <w:jc w:val="both"/>
      </w:pPr>
      <w:r>
        <w:rPr>
          <w:rFonts w:ascii="Arial" w:cs="Arial" w:eastAsia="Arial" w:hAnsi="Arial"/>
          <w:sz w:val="24"/>
          <w:szCs w:val="24"/>
        </w:rPr>
        <w:t xml:space="preserve">«</w:t>
      </w:r>
      <w:hyperlink w:history="1" r:id="rIdida3ulnoqaaezt5a4yvje">
        <w:r>
          <w:rPr>
            <w:rFonts w:ascii="Arial" w:cs="Arial" w:eastAsia="Arial" w:hAnsi="Arial"/>
            <w:color w:val="1D4ED8"/>
            <w:sz w:val="24"/>
            <w:szCs w:val="24"/>
            <w:u w:val="single"/>
          </w:rPr>
          <w:t xml:space="preserve">9</w:t>
        </w:r>
      </w:hyperlink>
      <w:r>
        <w:rPr>
          <w:rFonts w:ascii="Arial" w:cs="Arial" w:eastAsia="Arial" w:hAnsi="Arial"/>
          <w:sz w:val="24"/>
          <w:szCs w:val="24"/>
        </w:rPr>
        <w:t xml:space="preserve">. Учет и отчетность</w:t>
      </w:r>
    </w:p>
    <w:p>
      <w:pPr>
        <w:spacing w:after="120"/>
        <w:ind w:firstLine="397"/>
        <w:jc w:val="both"/>
      </w:pPr>
      <w:r>
        <w:rPr>
          <w:rFonts w:ascii="Arial" w:cs="Arial" w:eastAsia="Arial" w:hAnsi="Arial"/>
          <w:sz w:val="24"/>
          <w:szCs w:val="24"/>
        </w:rPr>
        <w:t xml:space="preserve">25. Майнеры обязаны ежемесячно представлять в уполномоченный орган оперативную отчетность. Форма отчетности утверждается приказом уполномоченного органа.</w:t>
      </w:r>
    </w:p>
    <w:p>
      <w:pPr>
        <w:spacing w:after="120"/>
        <w:ind w:firstLine="397"/>
        <w:jc w:val="both"/>
      </w:pPr>
      <w:r>
        <w:rPr>
          <w:rFonts w:ascii="Arial" w:cs="Arial" w:eastAsia="Arial" w:hAnsi="Arial"/>
          <w:sz w:val="24"/>
          <w:szCs w:val="24"/>
        </w:rPr>
        <w:t xml:space="preserve">26. Майнеры обязаны ежеквартально, не позднее 10 рабочих дней после окончания отчетного квартала, представлять в уполномоченный орган финансовую отчетность, составленную в соответствии с международными стандартами финансовой отчетности.</w:t>
      </w:r>
    </w:p>
    <w:p>
      <w:pPr>
        <w:spacing w:after="120"/>
        <w:ind w:firstLine="397"/>
        <w:jc w:val="both"/>
      </w:pPr>
      <w:hyperlink w:history="1" r:id="rIdr-_wxbw65a0qocqdxynml">
        <w:r>
          <w:rPr>
            <w:rFonts w:ascii="Arial" w:cs="Arial" w:eastAsia="Arial" w:hAnsi="Arial"/>
            <w:color w:val="1D4ED8"/>
            <w:sz w:val="24"/>
            <w:szCs w:val="24"/>
            <w:u w:val="single"/>
          </w:rPr>
          <w:t xml:space="preserve">10</w:t>
        </w:r>
      </w:hyperlink>
      <w:r>
        <w:rPr>
          <w:rFonts w:ascii="Arial" w:cs="Arial" w:eastAsia="Arial" w:hAnsi="Arial"/>
          <w:sz w:val="24"/>
          <w:szCs w:val="24"/>
        </w:rPr>
        <w:t xml:space="preserve">. Регистрация майнеров через Единую государственную систему коллективного майнинга</w:t>
      </w:r>
    </w:p>
    <w:p>
      <w:pPr>
        <w:spacing w:after="120"/>
        <w:ind w:firstLine="397"/>
        <w:jc w:val="both"/>
      </w:pPr>
      <w:r>
        <w:rPr>
          <w:rFonts w:ascii="Arial" w:cs="Arial" w:eastAsia="Arial" w:hAnsi="Arial"/>
          <w:sz w:val="24"/>
          <w:szCs w:val="24"/>
        </w:rPr>
        <w:t xml:space="preserve">27. Регистрация в Единой государственной системе коллективного майнинга осуществляется одним из следующих способов:</w:t>
      </w:r>
    </w:p>
    <w:p>
      <w:pPr>
        <w:spacing w:after="120"/>
        <w:ind w:firstLine="397"/>
        <w:jc w:val="both"/>
      </w:pPr>
      <w:r>
        <w:rPr>
          <w:rFonts w:ascii="Arial" w:cs="Arial" w:eastAsia="Arial" w:hAnsi="Arial"/>
          <w:sz w:val="24"/>
          <w:szCs w:val="24"/>
        </w:rPr>
        <w:t xml:space="preserve">1) одновременно с регистрацией майнера и получением сертификата в соответствии с главами </w:t>
      </w:r>
      <w:hyperlink w:history="1" r:id="rIduaq5b0ampdv1jxssihgin">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7qzlk0aqj5zv2fqnlfgqf">
        <w:r>
          <w:rPr>
            <w:rFonts w:ascii="Arial" w:cs="Arial" w:eastAsia="Arial" w:hAnsi="Arial"/>
            <w:color w:val="1D4ED8"/>
            <w:sz w:val="24"/>
            <w:szCs w:val="24"/>
            <w:u w:val="single"/>
          </w:rPr>
          <w:t xml:space="preserve">7</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2) после получения сертификата на осуществление деятельности по майнингу.</w:t>
      </w:r>
    </w:p>
    <w:p>
      <w:pPr>
        <w:spacing w:after="120"/>
        <w:ind w:firstLine="397"/>
        <w:jc w:val="both"/>
      </w:pPr>
      <w:r>
        <w:rPr>
          <w:rFonts w:ascii="Arial" w:cs="Arial" w:eastAsia="Arial" w:hAnsi="Arial"/>
          <w:sz w:val="24"/>
          <w:szCs w:val="24"/>
        </w:rPr>
        <w:t xml:space="preserve">28. Для регистрации в Единой государственной системе коллективного майнинга заявитель дополнительно к документам, указанным в </w:t>
      </w:r>
      <w:hyperlink w:history="1" r:id="rIds9fk6p17luzpguus0akcn">
        <w:r>
          <w:rPr>
            <w:rFonts w:ascii="Arial" w:cs="Arial" w:eastAsia="Arial" w:hAnsi="Arial"/>
            <w:color w:val="1D4ED8"/>
            <w:sz w:val="24"/>
            <w:szCs w:val="24"/>
            <w:u w:val="single"/>
          </w:rPr>
          <w:t xml:space="preserve">пункте 11</w:t>
        </w:r>
      </w:hyperlink>
      <w:r>
        <w:rPr>
          <w:rFonts w:ascii="Arial" w:cs="Arial" w:eastAsia="Arial" w:hAnsi="Arial"/>
          <w:sz w:val="24"/>
          <w:szCs w:val="24"/>
        </w:rPr>
        <w:t xml:space="preserve"> настоящего Порядка, представляет в уполномоченный орган:</w:t>
      </w:r>
    </w:p>
    <w:p>
      <w:pPr>
        <w:spacing w:after="120"/>
        <w:ind w:firstLine="397"/>
        <w:jc w:val="both"/>
      </w:pPr>
      <w:r>
        <w:rPr>
          <w:rFonts w:ascii="Arial" w:cs="Arial" w:eastAsia="Arial" w:hAnsi="Arial"/>
          <w:sz w:val="24"/>
          <w:szCs w:val="24"/>
        </w:rPr>
        <w:t xml:space="preserve">1) заявление о регистрации в Единой государственной системе коллективного майнинга по форме согласно </w:t>
      </w:r>
      <w:hyperlink w:history="1" r:id="rIdrizjey82-yuu2p2gj-cns">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2) технические характеристики майнингового оборудования (модель, количество, хешрейт, энергопотребление);</w:t>
      </w:r>
    </w:p>
    <w:p>
      <w:pPr>
        <w:spacing w:after="120"/>
        <w:ind w:firstLine="397"/>
        <w:jc w:val="both"/>
      </w:pPr>
      <w:r>
        <w:rPr>
          <w:rFonts w:ascii="Arial" w:cs="Arial" w:eastAsia="Arial" w:hAnsi="Arial"/>
          <w:sz w:val="24"/>
          <w:szCs w:val="24"/>
        </w:rPr>
        <w:t xml:space="preserve">3) сведения о планируемом объеме потребления электроэнергии;</w:t>
      </w:r>
    </w:p>
    <w:p>
      <w:pPr>
        <w:spacing w:after="120"/>
        <w:ind w:firstLine="397"/>
        <w:jc w:val="both"/>
      </w:pPr>
      <w:r>
        <w:rPr>
          <w:rFonts w:ascii="Arial" w:cs="Arial" w:eastAsia="Arial" w:hAnsi="Arial"/>
          <w:sz w:val="24"/>
          <w:szCs w:val="24"/>
        </w:rPr>
        <w:t xml:space="preserve">4) документы, подтверждающие право собственности на майнинговое оборудование или договор аренды такого оборудования.</w:t>
      </w:r>
    </w:p>
    <w:p>
      <w:pPr>
        <w:spacing w:after="120"/>
        <w:ind w:firstLine="397"/>
        <w:jc w:val="both"/>
      </w:pPr>
      <w:r>
        <w:rPr>
          <w:rFonts w:ascii="Arial" w:cs="Arial" w:eastAsia="Arial" w:hAnsi="Arial"/>
          <w:sz w:val="24"/>
          <w:szCs w:val="24"/>
        </w:rPr>
        <w:t xml:space="preserve">29. Уполномоченный орган рассматривает заявление о регистрации в Единой государственной системе коллективного майнинга в течение 10 (десять) рабочих дней и принимает одно из следующих решений:</w:t>
      </w:r>
    </w:p>
    <w:p>
      <w:pPr>
        <w:spacing w:after="120"/>
        <w:ind w:firstLine="397"/>
        <w:jc w:val="both"/>
      </w:pPr>
      <w:r>
        <w:rPr>
          <w:rFonts w:ascii="Arial" w:cs="Arial" w:eastAsia="Arial" w:hAnsi="Arial"/>
          <w:sz w:val="24"/>
          <w:szCs w:val="24"/>
        </w:rPr>
        <w:t xml:space="preserve">1) о регистрации заявителя в Единой государственной системе коллективного майнинга;</w:t>
      </w:r>
    </w:p>
    <w:p>
      <w:pPr>
        <w:spacing w:after="120"/>
        <w:ind w:firstLine="397"/>
        <w:jc w:val="both"/>
      </w:pPr>
      <w:r>
        <w:rPr>
          <w:rFonts w:ascii="Arial" w:cs="Arial" w:eastAsia="Arial" w:hAnsi="Arial"/>
          <w:sz w:val="24"/>
          <w:szCs w:val="24"/>
        </w:rPr>
        <w:t xml:space="preserve">2) об отказе в регистрации заявителя в Единой государственной системе коллективного майнинга.</w:t>
      </w:r>
    </w:p>
    <w:p>
      <w:pPr>
        <w:spacing w:after="120"/>
        <w:ind w:firstLine="397"/>
        <w:jc w:val="both"/>
      </w:pPr>
      <w:r>
        <w:rPr>
          <w:rFonts w:ascii="Arial" w:cs="Arial" w:eastAsia="Arial" w:hAnsi="Arial"/>
          <w:sz w:val="24"/>
          <w:szCs w:val="24"/>
        </w:rPr>
        <w:t xml:space="preserve">30. Основаниями для отказа в регистрации заявителя в Единой государственной системе коллективного майнинга являются:</w:t>
      </w:r>
    </w:p>
    <w:p>
      <w:pPr>
        <w:spacing w:after="120"/>
        <w:ind w:firstLine="397"/>
        <w:jc w:val="both"/>
      </w:pPr>
      <w:r>
        <w:rPr>
          <w:rFonts w:ascii="Arial" w:cs="Arial" w:eastAsia="Arial" w:hAnsi="Arial"/>
          <w:sz w:val="24"/>
          <w:szCs w:val="24"/>
        </w:rPr>
        <w:t xml:space="preserve">1) несоответствие представленных документов требованиям, установленным настоящим Порядком;</w:t>
      </w:r>
    </w:p>
    <w:p>
      <w:pPr>
        <w:spacing w:after="120"/>
        <w:ind w:firstLine="397"/>
        <w:jc w:val="both"/>
      </w:pPr>
      <w:r>
        <w:rPr>
          <w:rFonts w:ascii="Arial" w:cs="Arial" w:eastAsia="Arial" w:hAnsi="Arial"/>
          <w:sz w:val="24"/>
          <w:szCs w:val="24"/>
        </w:rPr>
        <w:t xml:space="preserve">2) предоставление неполного пакета документов;</w:t>
      </w:r>
    </w:p>
    <w:p>
      <w:pPr>
        <w:spacing w:after="120"/>
        <w:ind w:firstLine="397"/>
        <w:jc w:val="both"/>
      </w:pPr>
      <w:r>
        <w:rPr>
          <w:rFonts w:ascii="Arial" w:cs="Arial" w:eastAsia="Arial" w:hAnsi="Arial"/>
          <w:sz w:val="24"/>
          <w:szCs w:val="24"/>
        </w:rPr>
        <w:t xml:space="preserve">3) предоставление недостоверной информации;</w:t>
      </w:r>
    </w:p>
    <w:p>
      <w:pPr>
        <w:spacing w:after="120"/>
        <w:ind w:firstLine="397"/>
        <w:jc w:val="both"/>
      </w:pPr>
      <w:r>
        <w:rPr>
          <w:rFonts w:ascii="Arial" w:cs="Arial" w:eastAsia="Arial" w:hAnsi="Arial"/>
          <w:sz w:val="24"/>
          <w:szCs w:val="24"/>
        </w:rPr>
        <w:t xml:space="preserve">4) несоответствие майнингового оборудования техническим требованиям Единой государственной системы коллективного майнинга;</w:t>
      </w:r>
    </w:p>
    <w:p>
      <w:pPr>
        <w:spacing w:after="120"/>
        <w:ind w:firstLine="397"/>
        <w:jc w:val="both"/>
      </w:pPr>
      <w:r>
        <w:rPr>
          <w:rFonts w:ascii="Arial" w:cs="Arial" w:eastAsia="Arial" w:hAnsi="Arial"/>
          <w:sz w:val="24"/>
          <w:szCs w:val="24"/>
        </w:rPr>
        <w:t xml:space="preserve">5) отсутствие у заявителя сертификата на осуществление деятельности по майнингу.</w:t>
      </w:r>
    </w:p>
    <w:p>
      <w:pPr>
        <w:spacing w:after="120"/>
        <w:ind w:firstLine="397"/>
        <w:jc w:val="both"/>
      </w:pPr>
      <w:r>
        <w:rPr>
          <w:rFonts w:ascii="Arial" w:cs="Arial" w:eastAsia="Arial" w:hAnsi="Arial"/>
          <w:sz w:val="24"/>
          <w:szCs w:val="24"/>
        </w:rPr>
        <w:t xml:space="preserve">31. В случае принятия решения о регистрации заявителя в Единой государственной системе коллективного майнинга уполномоченный орган в течение 3 (трех) рабочих дней:</w:t>
      </w:r>
    </w:p>
    <w:p>
      <w:pPr>
        <w:spacing w:after="120"/>
        <w:ind w:firstLine="397"/>
        <w:jc w:val="both"/>
      </w:pPr>
      <w:r>
        <w:rPr>
          <w:rFonts w:ascii="Arial" w:cs="Arial" w:eastAsia="Arial" w:hAnsi="Arial"/>
          <w:sz w:val="24"/>
          <w:szCs w:val="24"/>
        </w:rPr>
        <w:t xml:space="preserve">1) вносит соответствующие сведения в Электронный реестр майнеров;</w:t>
      </w:r>
    </w:p>
    <w:p>
      <w:pPr>
        <w:spacing w:after="120"/>
        <w:ind w:firstLine="397"/>
        <w:jc w:val="both"/>
      </w:pPr>
      <w:r>
        <w:rPr>
          <w:rFonts w:ascii="Arial" w:cs="Arial" w:eastAsia="Arial" w:hAnsi="Arial"/>
          <w:sz w:val="24"/>
          <w:szCs w:val="24"/>
        </w:rPr>
        <w:t xml:space="preserve">2) предоставляет заявителю учетные данные для доступа к личному кабинету на платформе Единой государственной системы коллективного майнинга;</w:t>
      </w:r>
    </w:p>
    <w:p>
      <w:pPr>
        <w:spacing w:after="120"/>
        <w:ind w:firstLine="397"/>
        <w:jc w:val="both"/>
      </w:pPr>
      <w:r>
        <w:rPr>
          <w:rFonts w:ascii="Arial" w:cs="Arial" w:eastAsia="Arial" w:hAnsi="Arial"/>
          <w:sz w:val="24"/>
          <w:szCs w:val="24"/>
        </w:rPr>
        <w:t xml:space="preserve">3) направляет инструкции по подключению майнингового оборудования к Единой государственной системе коллективного майнинга.</w:t>
      </w:r>
    </w:p>
    <w:p>
      <w:pPr>
        <w:spacing w:after="120"/>
        <w:ind w:firstLine="397"/>
        <w:jc w:val="both"/>
      </w:pPr>
      <w:hyperlink w:history="1" r:id="rIdsk2pqrwi_w0l1is_wkdfb">
        <w:r>
          <w:rPr>
            <w:rFonts w:ascii="Arial" w:cs="Arial" w:eastAsia="Arial" w:hAnsi="Arial"/>
            <w:color w:val="1D4ED8"/>
            <w:sz w:val="24"/>
            <w:szCs w:val="24"/>
            <w:u w:val="single"/>
          </w:rPr>
          <w:t xml:space="preserve">11</w:t>
        </w:r>
      </w:hyperlink>
      <w:r>
        <w:rPr>
          <w:rFonts w:ascii="Arial" w:cs="Arial" w:eastAsia="Arial" w:hAnsi="Arial"/>
          <w:sz w:val="24"/>
          <w:szCs w:val="24"/>
        </w:rPr>
        <w:t xml:space="preserve">. Порядок функционирования Единой государственной системы коллективного майнинга</w:t>
      </w:r>
    </w:p>
    <w:p>
      <w:pPr>
        <w:spacing w:after="120"/>
        <w:ind w:firstLine="397"/>
        <w:jc w:val="both"/>
      </w:pPr>
      <w:r>
        <w:rPr>
          <w:rFonts w:ascii="Arial" w:cs="Arial" w:eastAsia="Arial" w:hAnsi="Arial"/>
          <w:sz w:val="24"/>
          <w:szCs w:val="24"/>
        </w:rPr>
        <w:t xml:space="preserve">32. Технические параметры функционирования Единой государственной системы коллективного майнинга, протоколы подключения, распределение нагрузки и вознаграждений определяются уполномоченным органом.</w:t>
      </w:r>
    </w:p>
    <w:p>
      <w:pPr>
        <w:spacing w:after="120"/>
        <w:ind w:firstLine="397"/>
        <w:jc w:val="both"/>
      </w:pPr>
      <w:r>
        <w:rPr>
          <w:rFonts w:ascii="Arial" w:cs="Arial" w:eastAsia="Arial" w:hAnsi="Arial"/>
          <w:sz w:val="24"/>
          <w:szCs w:val="24"/>
        </w:rPr>
        <w:t xml:space="preserve">33. Виртуальные активы, добытые участниками Единой государственной системы коллективного майнинга, подлежат обязательному первоначальному размещению и продаже на платформе оператора торгов виртуальных активов, лицензированного на территории Кыргызской Республики.</w:t>
      </w:r>
    </w:p>
    <w:p>
      <w:pPr>
        <w:spacing w:after="120"/>
        <w:ind w:firstLine="397"/>
        <w:jc w:val="both"/>
      </w:pPr>
      <w:r>
        <w:rPr>
          <w:rFonts w:ascii="Arial" w:cs="Arial" w:eastAsia="Arial" w:hAnsi="Arial"/>
          <w:sz w:val="24"/>
          <w:szCs w:val="24"/>
        </w:rPr>
        <w:t xml:space="preserve">34. Распределение вознаграждения между участниками Единой государственной системы коллективного майнинга осуществляется пропорционально предоставленным вычислительным мощностям в автоматическом режиме.</w:t>
      </w:r>
    </w:p>
    <w:p>
      <w:pPr>
        <w:spacing w:after="120"/>
        <w:ind w:firstLine="397"/>
        <w:jc w:val="both"/>
      </w:pPr>
      <w:r>
        <w:rPr>
          <w:rFonts w:ascii="Arial" w:cs="Arial" w:eastAsia="Arial" w:hAnsi="Arial"/>
          <w:sz w:val="24"/>
          <w:szCs w:val="24"/>
        </w:rPr>
        <w:t xml:space="preserve">35. Участник Единой государственной системы коллективного майнинга имеет право:</w:t>
      </w:r>
    </w:p>
    <w:p>
      <w:pPr>
        <w:spacing w:after="120"/>
        <w:ind w:firstLine="397"/>
        <w:jc w:val="both"/>
      </w:pPr>
      <w:r>
        <w:rPr>
          <w:rFonts w:ascii="Arial" w:cs="Arial" w:eastAsia="Arial" w:hAnsi="Arial"/>
          <w:sz w:val="24"/>
          <w:szCs w:val="24"/>
        </w:rPr>
        <w:t xml:space="preserve">1) получать вознаграждение пропорционально предоставленным вычислительным мощностям;</w:t>
      </w:r>
    </w:p>
    <w:p>
      <w:pPr>
        <w:spacing w:after="120"/>
        <w:ind w:firstLine="397"/>
        <w:jc w:val="both"/>
      </w:pPr>
      <w:r>
        <w:rPr>
          <w:rFonts w:ascii="Arial" w:cs="Arial" w:eastAsia="Arial" w:hAnsi="Arial"/>
          <w:sz w:val="24"/>
          <w:szCs w:val="24"/>
        </w:rPr>
        <w:t xml:space="preserve">2) получать информацию о работе своего оборудования в режиме реального времени через личный кабинет;</w:t>
      </w:r>
    </w:p>
    <w:p>
      <w:pPr>
        <w:spacing w:after="120"/>
        <w:ind w:firstLine="397"/>
        <w:jc w:val="both"/>
      </w:pPr>
      <w:r>
        <w:rPr>
          <w:rFonts w:ascii="Arial" w:cs="Arial" w:eastAsia="Arial" w:hAnsi="Arial"/>
          <w:sz w:val="24"/>
          <w:szCs w:val="24"/>
        </w:rPr>
        <w:t xml:space="preserve">3) временно приостанавливать участие в Единой государственной системе коллективного майнинга с обязательным уведомлением уполномоченного органа не менее чем за 5 (пять) рабочих дней;</w:t>
      </w:r>
    </w:p>
    <w:p>
      <w:pPr>
        <w:spacing w:after="120"/>
        <w:ind w:firstLine="397"/>
        <w:jc w:val="both"/>
      </w:pPr>
      <w:r>
        <w:rPr>
          <w:rFonts w:ascii="Arial" w:cs="Arial" w:eastAsia="Arial" w:hAnsi="Arial"/>
          <w:sz w:val="24"/>
          <w:szCs w:val="24"/>
        </w:rPr>
        <w:t xml:space="preserve">4) выйти из Единой государственной системы коллективного майнинга с обязательным уведомлением уполномоченного органа не менее чем за 30 (тридцать) календарных дней.</w:t>
      </w:r>
    </w:p>
    <w:p>
      <w:pPr>
        <w:spacing w:after="120"/>
        <w:ind w:firstLine="397"/>
        <w:jc w:val="both"/>
      </w:pPr>
      <w:r>
        <w:rPr>
          <w:rFonts w:ascii="Arial" w:cs="Arial" w:eastAsia="Arial" w:hAnsi="Arial"/>
          <w:sz w:val="24"/>
          <w:szCs w:val="24"/>
        </w:rPr>
        <w:t xml:space="preserve">36. Участник Единой государственной системы коллективного майнинга обязан:</w:t>
      </w:r>
    </w:p>
    <w:p>
      <w:pPr>
        <w:spacing w:after="120"/>
        <w:ind w:firstLine="397"/>
        <w:jc w:val="both"/>
      </w:pPr>
      <w:r>
        <w:rPr>
          <w:rFonts w:ascii="Arial" w:cs="Arial" w:eastAsia="Arial" w:hAnsi="Arial"/>
          <w:sz w:val="24"/>
          <w:szCs w:val="24"/>
        </w:rPr>
        <w:t xml:space="preserve">1) соблюдать требования настоящего Порядка и регламента функционирования Единой государственной системы коллективного майнинга;</w:t>
      </w:r>
    </w:p>
    <w:p>
      <w:pPr>
        <w:spacing w:after="120"/>
        <w:ind w:firstLine="397"/>
        <w:jc w:val="both"/>
      </w:pPr>
      <w:r>
        <w:rPr>
          <w:rFonts w:ascii="Arial" w:cs="Arial" w:eastAsia="Arial" w:hAnsi="Arial"/>
          <w:sz w:val="24"/>
          <w:szCs w:val="24"/>
        </w:rPr>
        <w:t xml:space="preserve">2) обеспечить бесперебойную работу своего майнингового оборудования, подключенного к Единой государственной системе коллективного майнинга;</w:t>
      </w:r>
    </w:p>
    <w:p>
      <w:pPr>
        <w:spacing w:after="120"/>
        <w:ind w:firstLine="397"/>
        <w:jc w:val="both"/>
      </w:pPr>
      <w:r>
        <w:rPr>
          <w:rFonts w:ascii="Arial" w:cs="Arial" w:eastAsia="Arial" w:hAnsi="Arial"/>
          <w:sz w:val="24"/>
          <w:szCs w:val="24"/>
        </w:rPr>
        <w:t xml:space="preserve">3) предоставлять уполномоченному органу доступ к майнинговому оборудованию для проверки соответствия заявленных параметров;</w:t>
      </w:r>
    </w:p>
    <w:p>
      <w:pPr>
        <w:spacing w:after="120"/>
        <w:ind w:firstLine="397"/>
        <w:jc w:val="both"/>
      </w:pPr>
      <w:r>
        <w:rPr>
          <w:rFonts w:ascii="Arial" w:cs="Arial" w:eastAsia="Arial" w:hAnsi="Arial"/>
          <w:sz w:val="24"/>
          <w:szCs w:val="24"/>
        </w:rPr>
        <w:t xml:space="preserve">4) уведомлять уполномоченный орган об изменениях в составе и характеристиках майнингового оборудования в течение 5 (пяти) рабочих дней с момента таких изменений;</w:t>
      </w:r>
    </w:p>
    <w:p>
      <w:pPr>
        <w:spacing w:after="120"/>
        <w:ind w:firstLine="397"/>
        <w:jc w:val="both"/>
      </w:pPr>
      <w:r>
        <w:rPr>
          <w:rFonts w:ascii="Arial" w:cs="Arial" w:eastAsia="Arial" w:hAnsi="Arial"/>
          <w:sz w:val="24"/>
          <w:szCs w:val="24"/>
        </w:rPr>
        <w:t xml:space="preserve">5) выполнять требования по информационной безопасности, установленные уполномоченным органом.</w:t>
      </w:r>
    </w:p>
    <w:p>
      <w:pPr>
        <w:spacing w:after="120"/>
        <w:ind w:firstLine="397"/>
        <w:jc w:val="both"/>
      </w:pPr>
      <w:hyperlink w:history="1" r:id="rIdx3a3fl4cz4070llhepfct">
        <w:r>
          <w:rPr>
            <w:rFonts w:ascii="Arial" w:cs="Arial" w:eastAsia="Arial" w:hAnsi="Arial"/>
            <w:color w:val="1D4ED8"/>
            <w:sz w:val="24"/>
            <w:szCs w:val="24"/>
            <w:u w:val="single"/>
          </w:rPr>
          <w:t xml:space="preserve">12</w:t>
        </w:r>
      </w:hyperlink>
      <w:r>
        <w:rPr>
          <w:rFonts w:ascii="Arial" w:cs="Arial" w:eastAsia="Arial" w:hAnsi="Arial"/>
          <w:sz w:val="24"/>
          <w:szCs w:val="24"/>
        </w:rPr>
        <w:t xml:space="preserve">. Порядок учета и отчетности участников Единой государственной системы коллективного майнинга</w:t>
      </w:r>
    </w:p>
    <w:p>
      <w:pPr>
        <w:spacing w:after="120"/>
        <w:ind w:firstLine="397"/>
        <w:jc w:val="both"/>
      </w:pPr>
      <w:r>
        <w:rPr>
          <w:rFonts w:ascii="Arial" w:cs="Arial" w:eastAsia="Arial" w:hAnsi="Arial"/>
          <w:sz w:val="24"/>
          <w:szCs w:val="24"/>
        </w:rPr>
        <w:t xml:space="preserve">37. Учет данных о работе майнингового оборудования участников Единой государственной системы коллективного майнинга, распределении вознаграждений и осуществленных транзакциях ведется в автоматическом режиме на платформе Единой государственной системы коллективного майнинга.</w:t>
      </w:r>
    </w:p>
    <w:p>
      <w:pPr>
        <w:spacing w:after="120"/>
        <w:ind w:firstLine="397"/>
        <w:jc w:val="both"/>
      </w:pPr>
      <w:r>
        <w:rPr>
          <w:rFonts w:ascii="Arial" w:cs="Arial" w:eastAsia="Arial" w:hAnsi="Arial"/>
          <w:sz w:val="24"/>
          <w:szCs w:val="24"/>
        </w:rPr>
        <w:t xml:space="preserve">38. Уполномоченный орган обеспечивает формирование и предоставление в налоговые органы информации о доходах участников Единой государственной системы коллективного майнинга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39. Участники Единой государственной системы коллективного майнинга обязаны вести учет добытых виртуальных активов и предоставлять отчетность в уполномоченный орган по форме и в сроки, установленные уполномоченным органом. При этом участники, осуществляющие деятельность исключительно в рамках Единой государственной системы коллективного майнинга, вправе предоставлять упрощенную форму отчетности, утверждаемую уполномоченным органом.</w:t>
      </w:r>
    </w:p>
    <w:p>
      <w:pPr>
        <w:spacing w:after="120"/>
        <w:ind w:firstLine="397"/>
        <w:jc w:val="both"/>
      </w:pPr>
      <w:r>
        <w:rPr>
          <w:rFonts w:ascii="Arial" w:cs="Arial" w:eastAsia="Arial" w:hAnsi="Arial"/>
          <w:sz w:val="24"/>
          <w:szCs w:val="24"/>
        </w:rPr>
        <w:t xml:space="preserve">40. За нарушение требований настоящего Порядка и регламента функционирования Единой государственной системы коллективного майнинга участник может быть исключен из Единой государственной системы коллективного майнинга решением уполномоченного органа.</w:t>
      </w:r>
    </w:p>
    <w:p>
      <w:pPr>
        <w:spacing w:after="120"/>
        <w:ind w:firstLine="397"/>
        <w:jc w:val="both"/>
      </w:pPr>
      <w:r>
        <w:rPr>
          <w:rFonts w:ascii="Arial" w:cs="Arial" w:eastAsia="Arial" w:hAnsi="Arial"/>
          <w:sz w:val="24"/>
          <w:szCs w:val="24"/>
        </w:rPr>
        <w:t xml:space="preserve">41. Исключение из Единой государственной системы коллективного майнинга не влечет автоматического прекращения действия сертификата на осуществление деятельности по майнингу, если иное не предусмотрено законодательством Кыргызской Республики.</w:t>
      </w:r>
    </w:p>
    <w:p>
      <w:pPr>
        <w:spacing w:after="120"/>
        <w:ind w:firstLine="397"/>
        <w:jc w:val="both"/>
      </w:pPr>
      <w:r>
        <w:rPr>
          <w:rFonts w:ascii="Arial" w:cs="Arial" w:eastAsia="Arial" w:hAnsi="Arial"/>
          <w:sz w:val="24"/>
          <w:szCs w:val="24"/>
        </w:rPr>
        <w:t xml:space="preserve">42. Споры, возникающие между участниками Единой государственной системы коллективного майнинга и уполномоченным органом, разрешаются в порядке, предусмотренном </w:t>
      </w:r>
      <w:hyperlink w:history="1" r:id="rIdirxvyhvv3gppfkvxozlb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 дополнить </w:t>
      </w:r>
      <w:hyperlink w:history="1" r:id="rIdwshtx5qge_q_jhcd7ivzw">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в редакции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w:t>
      </w:r>
      <w:hyperlink w:history="1" r:id="rId3u328si5tez93ixbfxa2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3 октября 2025 года № 75 (3731)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biiwjrzsje-zg4fsuisyw">
        <w:r>
          <w:rPr>
            <w:rFonts w:ascii="Arial" w:cs="Arial" w:eastAsia="Arial" w:hAnsi="Arial"/>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j4dfi1vpsr_aql_31hnb">
        <w:r>
          <w:rPr>
            <w:rFonts w:ascii="Arial" w:cs="Arial" w:eastAsia="Arial" w:hAnsi="Arial"/>
            <w:color w:val="1D4ED8"/>
            <w:sz w:val="24"/>
            <w:szCs w:val="24"/>
            <w:u w:val="single"/>
          </w:rPr>
          <w:t xml:space="preserve">Приложение 2</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xvyiuq1ht3iwplk8efnmx">
        <w:r>
          <w:rPr>
            <w:rFonts w:ascii="Arial" w:cs="Arial" w:eastAsia="Arial" w:hAnsi="Arial"/>
            <w:color w:val="1D4ED8"/>
            <w:sz w:val="24"/>
            <w:szCs w:val="24"/>
            <w:u w:val="single"/>
          </w:rPr>
          <w:t xml:space="preserve">Приложение 3</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деятельности оператора обмена виртуальных</w:t>
      </w:r>
    </w:p>
    <w:p>
      <w:pPr>
        <w:spacing w:after="240" w:before="200"/>
        <w:jc w:val="center"/>
      </w:pPr>
      <w:r>
        <w:rPr>
          <w:rFonts w:ascii="Arial" w:cs="Arial" w:eastAsia="Arial" w:hAnsi="Arial"/>
          <w:b/>
          <w:bCs/>
          <w:sz w:val="32"/>
          <w:szCs w:val="32"/>
        </w:rPr>
        <w:t xml:space="preserve">активов и ведении Реестра операторов обмена</w:t>
      </w:r>
    </w:p>
    <w:p>
      <w:pPr>
        <w:spacing w:after="240" w:before="200"/>
        <w:jc w:val="center"/>
      </w:pPr>
      <w:r>
        <w:rPr>
          <w:rFonts w:ascii="Arial" w:cs="Arial" w:eastAsia="Arial" w:hAnsi="Arial"/>
          <w:b/>
          <w:bCs/>
          <w:sz w:val="32"/>
          <w:szCs w:val="32"/>
        </w:rPr>
        <w:t xml:space="preserve">виртуальных активов</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со статьями </w:t>
      </w:r>
      <w:hyperlink w:history="1" r:id="rIdgp1kpyznwp6is-wz8na3i">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dywu-su1yencpdrnrufzi">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ndkgy9boakn2ppakkzcip">
        <w:r>
          <w:rPr>
            <w:rFonts w:ascii="Arial" w:cs="Arial" w:eastAsia="Arial" w:hAnsi="Arial"/>
            <w:color w:val="1D4ED8"/>
            <w:sz w:val="24"/>
            <w:szCs w:val="24"/>
            <w:u w:val="single"/>
          </w:rPr>
          <w:t xml:space="preserve">30</w:t>
        </w:r>
      </w:hyperlink>
      <w:r>
        <w:rPr>
          <w:rFonts w:ascii="Arial" w:cs="Arial" w:eastAsia="Arial" w:hAnsi="Arial"/>
          <w:sz w:val="24"/>
          <w:szCs w:val="24"/>
        </w:rPr>
        <w:t xml:space="preserve"> Закона Кыргызской Республики "О виртуальных активах".</w:t>
      </w:r>
    </w:p>
    <w:p>
      <w:pPr>
        <w:spacing w:after="120"/>
        <w:ind w:firstLine="397"/>
        <w:jc w:val="both"/>
      </w:pPr>
      <w:r>
        <w:rPr>
          <w:rFonts w:ascii="Arial" w:cs="Arial" w:eastAsia="Arial" w:hAnsi="Arial"/>
          <w:sz w:val="24"/>
          <w:szCs w:val="24"/>
        </w:rPr>
        <w:t xml:space="preserve">Деятельность оператора обмена виртуальных активов является лицензируемой и подлежит государственной регистрации в Реестре операторов обмена виртуальных активов. Порядок государственной регистрации операторов обмена виртуальных активов определяется настоящим Положением.</w:t>
      </w:r>
    </w:p>
    <w:p>
      <w:pPr>
        <w:spacing w:after="120"/>
        <w:ind w:firstLine="397"/>
        <w:jc w:val="both"/>
      </w:pPr>
      <w:r>
        <w:rPr>
          <w:rFonts w:ascii="Arial" w:cs="Arial" w:eastAsia="Arial" w:hAnsi="Arial"/>
          <w:sz w:val="24"/>
          <w:szCs w:val="24"/>
        </w:rPr>
        <w:t xml:space="preserve">2. Применительно к настоящему Положению нижеприведенные термины используются в следующих значениях:</w:t>
      </w:r>
    </w:p>
    <w:p>
      <w:pPr>
        <w:spacing w:after="120"/>
        <w:ind w:firstLine="397"/>
        <w:jc w:val="both"/>
      </w:pP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оператора обмена виртуальных активов, либо физическое лицо, от имени или в интересах которого совершается операция (сделка);</w:t>
      </w:r>
    </w:p>
    <w:p>
      <w:pPr>
        <w:spacing w:after="120"/>
        <w:ind w:firstLine="397"/>
        <w:jc w:val="both"/>
      </w:pP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(организация), иностранный траст или юридическое образование, принятые на обслуживание или находящиеся на обслуживании у оператора обмена виртуальных активов либо с которыми оператор обмена виртуальных активов устанавливает или установил деловые отношения;</w:t>
      </w:r>
    </w:p>
    <w:p>
      <w:pPr>
        <w:spacing w:after="120"/>
        <w:ind w:firstLine="397"/>
        <w:jc w:val="both"/>
      </w:pPr>
      <w:r>
        <w:rPr>
          <w:rFonts w:ascii="Arial" w:cs="Arial" w:eastAsia="Arial" w:hAnsi="Arial"/>
          <w:b/>
          <w:bCs/>
          <w:sz w:val="24"/>
          <w:szCs w:val="24"/>
        </w:rPr>
        <w:t xml:space="preserve">верификация</w:t>
      </w:r>
      <w:r>
        <w:rPr>
          <w:rFonts w:ascii="Arial" w:cs="Arial" w:eastAsia="Arial" w:hAnsi="Arial"/>
          <w:sz w:val="24"/>
          <w:szCs w:val="24"/>
        </w:rPr>
        <w:t xml:space="preserve"> - процедура проверки идентификационных данных клиента и (или) бенефициарного владельца;</w:t>
      </w:r>
    </w:p>
    <w:p>
      <w:pPr>
        <w:spacing w:after="120"/>
        <w:ind w:firstLine="397"/>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процедура установления идентификационных данных о клиенте и (или) бенефициарном владельце;</w:t>
      </w:r>
    </w:p>
    <w:p>
      <w:pPr>
        <w:spacing w:after="120"/>
        <w:ind w:firstLine="397"/>
        <w:jc w:val="both"/>
      </w:pPr>
      <w:r>
        <w:rPr>
          <w:rFonts w:ascii="Arial" w:cs="Arial" w:eastAsia="Arial" w:hAnsi="Arial"/>
          <w:b/>
          <w:bCs/>
          <w:sz w:val="24"/>
          <w:szCs w:val="24"/>
        </w:rPr>
        <w:t xml:space="preserve">процентный скоринг</w:t>
      </w:r>
      <w:r>
        <w:rPr>
          <w:rFonts w:ascii="Arial" w:cs="Arial" w:eastAsia="Arial" w:hAnsi="Arial"/>
          <w:sz w:val="24"/>
          <w:szCs w:val="24"/>
        </w:rPr>
        <w:t xml:space="preserve"> - это количественная оценка уровня риска виртуального актива или виртуального кошелька, основанная на анализе его поведения, операций и иных факторов, связанных с возможностью использования в противоправных действиях, таких как отмывание денег или финансирование терроризма;</w:t>
      </w:r>
    </w:p>
    <w:p>
      <w:pPr>
        <w:spacing w:after="120"/>
        <w:ind w:firstLine="39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виртуальных активов.</w:t>
      </w:r>
    </w:p>
    <w:p>
      <w:pPr>
        <w:spacing w:after="120"/>
        <w:ind w:firstLine="397"/>
        <w:jc w:val="both"/>
      </w:pPr>
      <w:r>
        <w:rPr>
          <w:rFonts w:ascii="Arial" w:cs="Arial" w:eastAsia="Arial" w:hAnsi="Arial"/>
          <w:sz w:val="24"/>
          <w:szCs w:val="24"/>
        </w:rPr>
        <w:t xml:space="preserve">3. Иные термины используются в значениях, определенных </w:t>
      </w:r>
      <w:hyperlink w:history="1" r:id="rIdpmv8o4ggxxvj2wuhwrdd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120"/>
        <w:ind w:firstLine="397"/>
        <w:jc w:val="both"/>
      </w:pPr>
      <w:r>
        <w:rPr>
          <w:rFonts w:ascii="Arial" w:cs="Arial" w:eastAsia="Arial" w:hAnsi="Arial"/>
          <w:sz w:val="24"/>
          <w:szCs w:val="24"/>
        </w:rPr>
        <w:t xml:space="preserve">4. Для целей настоящего Положения предусмотренные требования для юридических лиц распространяются также на организации, созданные в соответствии с иностранным правом и не имеющие статус юридических лиц (кроме обособленных подразделений юридических лиц).</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к акционерам/учредителям/участникам,</w:t>
      </w:r>
    </w:p>
    <w:p>
      <w:pPr>
        <w:spacing w:after="240" w:before="200"/>
        <w:jc w:val="center"/>
      </w:pPr>
      <w:r>
        <w:rPr>
          <w:rFonts w:ascii="Arial" w:cs="Arial" w:eastAsia="Arial" w:hAnsi="Arial"/>
          <w:b/>
          <w:bCs/>
          <w:sz w:val="32"/>
          <w:szCs w:val="32"/>
        </w:rPr>
        <w:t xml:space="preserve">бенефициарным владельцам и должностным лицам оператора</w:t>
      </w:r>
    </w:p>
    <w:p>
      <w:pPr>
        <w:spacing w:after="240" w:before="200"/>
        <w:jc w:val="center"/>
      </w:pPr>
      <w:r>
        <w:rPr>
          <w:rFonts w:ascii="Arial" w:cs="Arial" w:eastAsia="Arial" w:hAnsi="Arial"/>
          <w:b/>
          <w:bCs/>
          <w:sz w:val="32"/>
          <w:szCs w:val="32"/>
        </w:rPr>
        <w:t xml:space="preserve">обмена виртуальных активов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Акционерами/учредителями/участниками, бенефициарными владельцами и должностными лицами оператора обмена виртуальных активов могут быть физические и юридические лица, резиденты/нерезиденты Кыргызской Республики.</w:t>
      </w:r>
    </w:p>
    <w:p>
      <w:pPr>
        <w:spacing w:after="120"/>
        <w:ind w:firstLine="397"/>
        <w:jc w:val="both"/>
      </w:pPr>
      <w:r>
        <w:rPr>
          <w:rFonts w:ascii="Arial" w:cs="Arial" w:eastAsia="Arial" w:hAnsi="Arial"/>
          <w:sz w:val="24"/>
          <w:szCs w:val="24"/>
        </w:rPr>
        <w:t xml:space="preserve">Сведения об акционерах/учредителях/участниках, бенефициарных владельцах и должностных лицах юридического лица должны быть представлены в анкете согласно приложениям </w:t>
      </w:r>
      <w:hyperlink w:history="1" r:id="rIdvnwajupsq470vwmfpuvf_">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7vrvvgin3a2bp4tn0svfj">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6. Не могут быть акционерами/учредителями/участниками, бенефициарными владельцами и должностными лицами оператора обмена виртуальных активов:</w:t>
      </w:r>
    </w:p>
    <w:p>
      <w:pPr>
        <w:spacing w:after="120"/>
        <w:ind w:firstLine="397"/>
        <w:jc w:val="both"/>
      </w:pPr>
      <w:r>
        <w:rPr>
          <w:rFonts w:ascii="Arial" w:cs="Arial" w:eastAsia="Arial" w:hAnsi="Arial"/>
          <w:sz w:val="24"/>
          <w:szCs w:val="24"/>
        </w:rPr>
        <w:t xml:space="preserve">- физические лица, постоянно проживающие в оффшорной зоне, и (или) юридические лица-нерезиденты, зарегистрированные в ней;</w:t>
      </w:r>
    </w:p>
    <w:p>
      <w:pPr>
        <w:spacing w:after="120"/>
        <w:ind w:firstLine="397"/>
        <w:jc w:val="both"/>
      </w:pPr>
      <w:r>
        <w:rPr>
          <w:rFonts w:ascii="Arial" w:cs="Arial" w:eastAsia="Arial" w:hAnsi="Arial"/>
          <w:sz w:val="24"/>
          <w:szCs w:val="24"/>
        </w:rPr>
        <w:t xml:space="preserve">- юридические и физические лица, имеющие счета в банках, расположенных в оффшорных зонах;</w:t>
      </w:r>
    </w:p>
    <w:p>
      <w:pPr>
        <w:spacing w:after="120"/>
        <w:ind w:firstLine="397"/>
        <w:jc w:val="both"/>
      </w:pPr>
      <w:r>
        <w:rPr>
          <w:rFonts w:ascii="Arial" w:cs="Arial" w:eastAsia="Arial" w:hAnsi="Arial"/>
          <w:sz w:val="24"/>
          <w:szCs w:val="24"/>
        </w:rPr>
        <w:t xml:space="preserve">- юридические лица, если их акционер (участник) является физическим лицом, постоянно проживающим в оффшорной зоне;</w:t>
      </w:r>
    </w:p>
    <w:p>
      <w:pPr>
        <w:spacing w:after="120"/>
        <w:ind w:firstLine="397"/>
        <w:jc w:val="both"/>
      </w:pPr>
      <w:r>
        <w:rPr>
          <w:rFonts w:ascii="Arial" w:cs="Arial" w:eastAsia="Arial" w:hAnsi="Arial"/>
          <w:sz w:val="24"/>
          <w:szCs w:val="24"/>
        </w:rPr>
        <w:t xml:space="preserve">- политические партии, профсоюзы и религиозные организации;</w:t>
      </w:r>
    </w:p>
    <w:p>
      <w:pPr>
        <w:spacing w:after="120"/>
        <w:ind w:firstLine="397"/>
        <w:jc w:val="both"/>
      </w:pPr>
      <w:r>
        <w:rPr>
          <w:rFonts w:ascii="Arial" w:cs="Arial" w:eastAsia="Arial" w:hAnsi="Arial"/>
          <w:sz w:val="24"/>
          <w:szCs w:val="24"/>
        </w:rPr>
        <w:t xml:space="preserve">- юридические и физические лица, включенные в санкционный перечень, определенный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юридические и физические лица, в отношении которых имеется негативная информация на основании сведений, предоставляемых государственными органами, осуществляющими борьбу с терроризмом и экстремизмом, незаконным оборотом наркотических и психотропных средств, распространением оружия массового уничтожения, и другими компетентными органами Кыргызской Республики, а также сведений, полученных по официальным каналам от компетентных органов иностранных государств и международных организаций;</w:t>
      </w:r>
    </w:p>
    <w:p>
      <w:pPr>
        <w:spacing w:after="120"/>
        <w:ind w:firstLine="397"/>
        <w:jc w:val="both"/>
      </w:pPr>
      <w:r>
        <w:rPr>
          <w:rFonts w:ascii="Arial" w:cs="Arial" w:eastAsia="Arial" w:hAnsi="Arial"/>
          <w:sz w:val="24"/>
          <w:szCs w:val="24"/>
        </w:rPr>
        <w:t xml:space="preserve">- лица, имеющие непогашенную судимость, в том числе в других государствах;</w:t>
      </w:r>
    </w:p>
    <w:p>
      <w:pPr>
        <w:spacing w:after="120"/>
        <w:ind w:firstLine="397"/>
        <w:jc w:val="both"/>
      </w:pPr>
      <w:r>
        <w:rPr>
          <w:rFonts w:ascii="Arial" w:cs="Arial" w:eastAsia="Arial" w:hAnsi="Arial"/>
          <w:sz w:val="24"/>
          <w:szCs w:val="24"/>
        </w:rPr>
        <w:t xml:space="preserve">- лица, имеющие неисполненное судебное решение по уплате своих финансовых обязательств.</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Должностные лица оператора обмена виртуальных активов подлежат обязательному согласованию с уполномоченным органом.</w:t>
      </w:r>
    </w:p>
    <w:p>
      <w:pPr>
        <w:spacing w:after="120"/>
        <w:ind w:firstLine="397"/>
        <w:jc w:val="both"/>
      </w:pPr>
      <w:r>
        <w:rPr>
          <w:rFonts w:ascii="Arial" w:cs="Arial" w:eastAsia="Arial" w:hAnsi="Arial"/>
          <w:sz w:val="24"/>
          <w:szCs w:val="24"/>
        </w:rPr>
        <w:t xml:space="preserve">Должностными лицами оператора обмена виртуальных активов, кандидатуры которых подлежат согласованию, являются:</w:t>
      </w:r>
    </w:p>
    <w:p>
      <w:pPr>
        <w:spacing w:after="120"/>
        <w:ind w:firstLine="397"/>
        <w:jc w:val="both"/>
      </w:pPr>
      <w:r>
        <w:rPr>
          <w:rFonts w:ascii="Arial" w:cs="Arial" w:eastAsia="Arial" w:hAnsi="Arial"/>
          <w:sz w:val="24"/>
          <w:szCs w:val="24"/>
        </w:rPr>
        <w:t xml:space="preserve">- руководитель и члены совета директоров (при наличии);</w:t>
      </w:r>
    </w:p>
    <w:p>
      <w:pPr>
        <w:spacing w:after="120"/>
        <w:ind w:firstLine="397"/>
        <w:jc w:val="both"/>
      </w:pPr>
      <w:r>
        <w:rPr>
          <w:rFonts w:ascii="Arial" w:cs="Arial" w:eastAsia="Arial" w:hAnsi="Arial"/>
          <w:sz w:val="24"/>
          <w:szCs w:val="24"/>
        </w:rPr>
        <w:t xml:space="preserve">- руководитель (лицо, единолично осуществляющее функции исполнительного органа) и члены исполнительного органа;</w:t>
      </w:r>
    </w:p>
    <w:p>
      <w:pPr>
        <w:spacing w:after="120"/>
        <w:ind w:firstLine="397"/>
        <w:jc w:val="both"/>
      </w:pPr>
      <w:r>
        <w:rPr>
          <w:rFonts w:ascii="Arial" w:cs="Arial" w:eastAsia="Arial" w:hAnsi="Arial"/>
          <w:sz w:val="24"/>
          <w:szCs w:val="24"/>
        </w:rPr>
        <w:t xml:space="preserve">- главный бухгалтер или единственный бухгалтер;</w:t>
      </w:r>
    </w:p>
    <w:p>
      <w:pPr>
        <w:spacing w:after="120"/>
        <w:ind w:firstLine="397"/>
        <w:jc w:val="both"/>
      </w:pPr>
      <w:r>
        <w:rPr>
          <w:rFonts w:ascii="Arial" w:cs="Arial" w:eastAsia="Arial" w:hAnsi="Arial"/>
          <w:sz w:val="24"/>
          <w:szCs w:val="24"/>
        </w:rPr>
        <w:t xml:space="preserve">- уполномоченный сотрудник или директор по рискам и комплаенсу.</w:t>
      </w:r>
    </w:p>
    <w:p>
      <w:pPr>
        <w:spacing w:after="120"/>
        <w:ind w:firstLine="397"/>
        <w:jc w:val="both"/>
      </w:pPr>
      <w:r>
        <w:rPr>
          <w:rFonts w:ascii="Arial" w:cs="Arial" w:eastAsia="Arial" w:hAnsi="Arial"/>
          <w:sz w:val="24"/>
          <w:szCs w:val="24"/>
        </w:rPr>
        <w:t xml:space="preserve">Должностное лицо оператора обмена виртуальных активов вправе занимать свою должность без согласования не более 45 календарных дней со дня его назначения (избрания).</w:t>
      </w:r>
    </w:p>
    <w:p>
      <w:pPr>
        <w:spacing w:after="120"/>
        <w:ind w:firstLine="397"/>
        <w:jc w:val="both"/>
      </w:pPr>
      <w:r>
        <w:rPr>
          <w:rFonts w:ascii="Arial" w:cs="Arial" w:eastAsia="Arial" w:hAnsi="Arial"/>
          <w:sz w:val="24"/>
          <w:szCs w:val="24"/>
        </w:rPr>
        <w:t xml:space="preserve">По истечении срока, указанного в настоящем пункте, и в случаях непредставления полного пакета документов на согласование либо отказа в согласовании оператор обмена виртуальных активов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w:t>
      </w:r>
    </w:p>
    <w:p>
      <w:pPr>
        <w:spacing w:after="120"/>
        <w:ind w:firstLine="397"/>
        <w:jc w:val="both"/>
      </w:pPr>
      <w:r>
        <w:rPr>
          <w:rFonts w:ascii="Arial" w:cs="Arial" w:eastAsia="Arial" w:hAnsi="Arial"/>
          <w:sz w:val="24"/>
          <w:szCs w:val="24"/>
        </w:rPr>
        <w:t xml:space="preserve">Запрещается исполнение обязанностей (замещение временно отсутствующего) должностного лица оператора обмена виртуальных активов без согласования свыше срока, установленного настоящим пунктом.</w:t>
      </w:r>
    </w:p>
    <w:p>
      <w:pPr>
        <w:spacing w:after="120"/>
        <w:ind w:firstLine="397"/>
        <w:jc w:val="both"/>
      </w:pPr>
      <w:r>
        <w:rPr>
          <w:rFonts w:ascii="Arial" w:cs="Arial" w:eastAsia="Arial" w:hAnsi="Arial"/>
          <w:sz w:val="24"/>
          <w:szCs w:val="24"/>
        </w:rPr>
        <w:t xml:space="preserve">Для согласования должностного лица оператор обмена виртуальных активов должен представить в уполномоченный орган письмо о согласовании (отдельно) каждой кандидатуры с приложением заверенных копий следующих документов:</w:t>
      </w:r>
    </w:p>
    <w:p>
      <w:pPr>
        <w:spacing w:after="120"/>
        <w:ind w:firstLine="397"/>
        <w:jc w:val="both"/>
      </w:pPr>
      <w:r>
        <w:rPr>
          <w:rFonts w:ascii="Arial" w:cs="Arial" w:eastAsia="Arial" w:hAnsi="Arial"/>
          <w:sz w:val="24"/>
          <w:szCs w:val="24"/>
        </w:rPr>
        <w:t xml:space="preserve">- решение об избрании/назначении кандидатуры;</w:t>
      </w:r>
    </w:p>
    <w:p>
      <w:pPr>
        <w:spacing w:after="120"/>
        <w:ind w:firstLine="397"/>
        <w:jc w:val="both"/>
      </w:pPr>
      <w:r>
        <w:rPr>
          <w:rFonts w:ascii="Arial" w:cs="Arial" w:eastAsia="Arial" w:hAnsi="Arial"/>
          <w:sz w:val="24"/>
          <w:szCs w:val="24"/>
        </w:rPr>
        <w:t xml:space="preserve">- удостоверение личности кандидата;</w:t>
      </w:r>
    </w:p>
    <w:p>
      <w:pPr>
        <w:spacing w:after="120"/>
        <w:ind w:firstLine="397"/>
        <w:jc w:val="both"/>
      </w:pPr>
      <w:r>
        <w:rPr>
          <w:rFonts w:ascii="Arial" w:cs="Arial" w:eastAsia="Arial" w:hAnsi="Arial"/>
          <w:sz w:val="24"/>
          <w:szCs w:val="24"/>
        </w:rPr>
        <w:t xml:space="preserve">- оригинал справки об отсутствии судимости;</w:t>
      </w:r>
    </w:p>
    <w:p>
      <w:pPr>
        <w:spacing w:after="120"/>
        <w:ind w:firstLine="397"/>
        <w:jc w:val="both"/>
      </w:pPr>
      <w:r>
        <w:rPr>
          <w:rFonts w:ascii="Arial" w:cs="Arial" w:eastAsia="Arial" w:hAnsi="Arial"/>
          <w:sz w:val="24"/>
          <w:szCs w:val="24"/>
        </w:rPr>
        <w:t xml:space="preserve">- оригинал анкеты кандидата по установленной форме согласно </w:t>
      </w:r>
      <w:hyperlink w:history="1" r:id="rId_7aqedjfm0put_trrxat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Если документы для согласования кандидатуры должностного лица имеются в системе межведомственного электронного взаимодействия "Тундук", то их представление в уполномоченный орган не требуется.</w:t>
      </w:r>
    </w:p>
    <w:p>
      <w:pPr>
        <w:spacing w:after="120"/>
        <w:ind w:firstLine="397"/>
        <w:jc w:val="both"/>
      </w:pPr>
      <w:r>
        <w:rPr>
          <w:rFonts w:ascii="Arial" w:cs="Arial" w:eastAsia="Arial" w:hAnsi="Arial"/>
          <w:sz w:val="24"/>
          <w:szCs w:val="24"/>
        </w:rPr>
        <w:t xml:space="preserve">При изменении в составе должностных лиц, прошедших процедуру согласования, оператор обмена виртуальных активов в течение 5 (пять) рабочих дней со дня избрания (назначения) нового должностного лица обязан предоставить в уполномоченный орган уведомление об изменениях. Письмо о согласовании новой кандидатуры представляется в уполномоченный орган в течение 10 (десять) рабочих дней со дня избрания (назначения) с приложением перечисленных выше документов.</w:t>
      </w:r>
    </w:p>
    <w:p>
      <w:pPr>
        <w:spacing w:after="120"/>
        <w:ind w:firstLine="397"/>
        <w:jc w:val="both"/>
      </w:pPr>
      <w:r>
        <w:rPr>
          <w:rFonts w:ascii="Arial" w:cs="Arial" w:eastAsia="Arial" w:hAnsi="Arial"/>
          <w:sz w:val="24"/>
          <w:szCs w:val="24"/>
        </w:rPr>
        <w:t xml:space="preserve">При изменении информации, содержащейся в пунктах анкеты, должностные лица, прошедшие согласование, обязаны уведомлять об этом (в письменной форме) уполномоченный орган в течение 10 (десять) рабочих дней после изменений.</w:t>
      </w:r>
    </w:p>
    <w:p>
      <w:pPr>
        <w:spacing w:after="120"/>
        <w:ind w:firstLine="397"/>
        <w:jc w:val="both"/>
      </w:pPr>
      <w:r>
        <w:rPr>
          <w:rFonts w:ascii="Arial" w:cs="Arial" w:eastAsia="Arial" w:hAnsi="Arial"/>
          <w:sz w:val="24"/>
          <w:szCs w:val="24"/>
        </w:rPr>
        <w:t xml:space="preserve">Документы на согласование должностного лица представляются на государственном или официальном языках.</w:t>
      </w:r>
    </w:p>
    <w:p>
      <w:pPr>
        <w:spacing w:after="120"/>
        <w:ind w:firstLine="397"/>
        <w:jc w:val="both"/>
      </w:pPr>
      <w:r>
        <w:rPr>
          <w:rFonts w:ascii="Arial" w:cs="Arial" w:eastAsia="Arial" w:hAnsi="Arial"/>
          <w:sz w:val="24"/>
          <w:szCs w:val="24"/>
        </w:rPr>
        <w:t xml:space="preserve">Документы, представленные для выдачи согласия на назначение (избрание) должностных лиц оператора обмена виртуальных активов, рассматриваются уполномоченным органом в течение 30 (тридцать) календарных дней с даты представления полного пакета документов в соответствии с требованиями настоящего Положения.</w:t>
      </w:r>
    </w:p>
    <w:p>
      <w:pPr>
        <w:spacing w:after="120"/>
        <w:ind w:firstLine="397"/>
        <w:jc w:val="both"/>
      </w:pPr>
      <w:r>
        <w:rPr>
          <w:rFonts w:ascii="Arial" w:cs="Arial" w:eastAsia="Arial" w:hAnsi="Arial"/>
          <w:sz w:val="24"/>
          <w:szCs w:val="24"/>
        </w:rPr>
        <w:t xml:space="preserve">В выдаче согласия на назначение (избрание) должностных лиц оператора обмена виртуальных активов отказывается по следующим основаниям:</w:t>
      </w:r>
    </w:p>
    <w:p>
      <w:pPr>
        <w:spacing w:after="120"/>
        <w:ind w:firstLine="397"/>
        <w:jc w:val="both"/>
      </w:pPr>
      <w:r>
        <w:rPr>
          <w:rFonts w:ascii="Arial" w:cs="Arial" w:eastAsia="Arial" w:hAnsi="Arial"/>
          <w:sz w:val="24"/>
          <w:szCs w:val="24"/>
        </w:rPr>
        <w:t xml:space="preserve">- несоответствие должностных лиц требованиям, установленным </w:t>
      </w:r>
      <w:hyperlink w:history="1" r:id="rId2d7ijx_hxmnsm440jnli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120"/>
        <w:ind w:firstLine="397"/>
        <w:jc w:val="both"/>
      </w:pPr>
      <w:r>
        <w:rPr>
          <w:rFonts w:ascii="Arial" w:cs="Arial" w:eastAsia="Arial" w:hAnsi="Arial"/>
          <w:sz w:val="24"/>
          <w:szCs w:val="24"/>
        </w:rPr>
        <w:t xml:space="preserve">- неустранение оператором обмена виртуальных активов замечаний или представление оператором обмена виртуальных активов доработанных с учетом замечаний документов по истечении установленного настоящим пунктом срока рассмотрения документов;</w:t>
      </w:r>
    </w:p>
    <w:p>
      <w:pPr>
        <w:spacing w:after="120"/>
        <w:ind w:firstLine="397"/>
        <w:jc w:val="both"/>
      </w:pPr>
      <w:r>
        <w:rPr>
          <w:rFonts w:ascii="Arial" w:cs="Arial" w:eastAsia="Arial" w:hAnsi="Arial"/>
          <w:sz w:val="24"/>
          <w:szCs w:val="24"/>
        </w:rPr>
        <w:t xml:space="preserve">- представление документов по истечении установленного настоящим пунктом срока, в течение которого должностное лицо может занимать свою должность без согласования.</w:t>
      </w:r>
    </w:p>
    <w:p>
      <w:pPr>
        <w:spacing w:after="120"/>
        <w:ind w:firstLine="397"/>
        <w:jc w:val="both"/>
      </w:pPr>
      <w:r>
        <w:rPr>
          <w:rFonts w:ascii="Arial" w:cs="Arial" w:eastAsia="Arial" w:hAnsi="Arial"/>
          <w:sz w:val="24"/>
          <w:szCs w:val="24"/>
        </w:rPr>
        <w:t xml:space="preserve">Выданное согласие на назначение (избрание) должностного лица оператора обмена виртуальных активов отзывается по следующим основаниям:</w:t>
      </w:r>
    </w:p>
    <w:p>
      <w:pPr>
        <w:spacing w:after="120"/>
        <w:ind w:firstLine="397"/>
        <w:jc w:val="both"/>
      </w:pPr>
      <w:r>
        <w:rPr>
          <w:rFonts w:ascii="Arial" w:cs="Arial" w:eastAsia="Arial" w:hAnsi="Arial"/>
          <w:sz w:val="24"/>
          <w:szCs w:val="24"/>
        </w:rPr>
        <w:t xml:space="preserve">- выявление недостоверных сведений, на основании которых было выдано согласие;</w:t>
      </w:r>
    </w:p>
    <w:p>
      <w:pPr>
        <w:spacing w:after="120"/>
        <w:ind w:firstLine="397"/>
        <w:jc w:val="both"/>
      </w:pPr>
      <w:r>
        <w:rPr>
          <w:rFonts w:ascii="Arial" w:cs="Arial" w:eastAsia="Arial" w:hAnsi="Arial"/>
          <w:sz w:val="24"/>
          <w:szCs w:val="24"/>
        </w:rPr>
        <w:t xml:space="preserve">- систематическое (3 (три) и более раза в течение последних 12 календарных месяцев) применение уполномоченным органом мер воздействия к должностному лицу и/или оператору обмена виртуальных активов, в котором данное должностное лицо занимает (занимал в течение последних 12 календарных месяцев) соответствующую должность;</w:t>
      </w:r>
    </w:p>
    <w:p>
      <w:pPr>
        <w:spacing w:after="120"/>
        <w:ind w:firstLine="397"/>
        <w:jc w:val="both"/>
      </w:pPr>
      <w:r>
        <w:rPr>
          <w:rFonts w:ascii="Arial" w:cs="Arial" w:eastAsia="Arial" w:hAnsi="Arial"/>
          <w:sz w:val="24"/>
          <w:szCs w:val="24"/>
        </w:rPr>
        <w:t xml:space="preserve">- наличие непогашенной судимости.</w:t>
      </w:r>
    </w:p>
    <w:p>
      <w:pPr>
        <w:spacing w:after="120"/>
        <w:ind w:firstLine="397"/>
        <w:jc w:val="both"/>
      </w:pPr>
      <w:r>
        <w:rPr>
          <w:rFonts w:ascii="Arial" w:cs="Arial" w:eastAsia="Arial" w:hAnsi="Arial"/>
          <w:sz w:val="24"/>
          <w:szCs w:val="24"/>
        </w:rPr>
        <w:t xml:space="preserve">В случае отзыва согласия на назначение (избрание) должностного лица оператора обмена виртуальных активов оператор обмена виртуальных активов обязан расторгнуть трудовой договор с данным лицом не позднее чем через 14 (четырнадцать) календарных дней со дня получения отзыва. В случае если трудовой договор отсутствует, оператор обмена виртуальных активов должен принять меры по прекращению полномочий данного должностного лица.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Порядок установления отношений с клиентами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Оператор обмена виртуальных активов вправе устанавливать отношения с клиентами, которыми могут быть как резиденты, так и нерезиденты Кыргызской Республики, за исключением случаев, предусмотренных настоящим Положением 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Отношения оператора обмена виртуальных активов с клиентами строятся на договорной основе и/или публичной оферте.</w:t>
      </w:r>
    </w:p>
    <w:p>
      <w:pPr>
        <w:spacing w:after="120"/>
        <w:ind w:firstLine="397"/>
        <w:jc w:val="both"/>
      </w:pPr>
      <w:r>
        <w:rPr>
          <w:rFonts w:ascii="Arial" w:cs="Arial" w:eastAsia="Arial" w:hAnsi="Arial"/>
          <w:sz w:val="24"/>
          <w:szCs w:val="24"/>
        </w:rPr>
        <w:t xml:space="preserve">В договорах и/или публичной оферте, посредством которых устанавливаются отношения с клиентами, оператор обмена виртуальных активов обязан учитывать условия, предусмотренные настоящим Положением, </w:t>
      </w:r>
      <w:hyperlink w:history="1" r:id="rIduw5m8s6e6jgqwr5jdggh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а также законодательством в сфере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Принятие клиентом публичной оферты должно быть полным и безоговорочным. Совершение клиентом, получившим публичную оферту в срок, установленный для ее акцепта, действий по выполнению указанных в ней условий договора считается акцептом, если иное не предусмотрено законодательством в области гражданского права или не указано в публичной оферте.</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Для установления отношений с клиентом оператор обмена виртуальных активов обязан провести идентификацию или удаленную идентификацию и верификацию, или удаленную верификацию идентификационных данных клиента в соответствии с законодательством в сфере противодействия финансированию преступной деятельности и легализации (отмыванию) преступных доходов и в сфере оборота виртуальных активов.</w:t>
      </w:r>
    </w:p>
    <w:p>
      <w:pPr>
        <w:spacing w:after="120"/>
        <w:ind w:firstLine="397"/>
        <w:jc w:val="both"/>
      </w:pPr>
      <w:r>
        <w:rPr>
          <w:rFonts w:ascii="Arial" w:cs="Arial" w:eastAsia="Arial" w:hAnsi="Arial"/>
          <w:sz w:val="24"/>
          <w:szCs w:val="24"/>
        </w:rPr>
        <w:t xml:space="preserve">Все проверки транзакций клиентов с виртуальными активами в целях соблюдения требований по противодействию финансированию преступной деятельности и легализации (отмыванию) преступных доходов (AML и KYT) в обязательном порядке должны проводиться с использованием информационной системы (программного обеспечения) поставщика AML/KYT-услуг, определенного уполномоченным органом.</w:t>
      </w:r>
    </w:p>
    <w:p>
      <w:pPr>
        <w:spacing w:after="120"/>
        <w:ind w:firstLine="397"/>
        <w:jc w:val="both"/>
      </w:pPr>
      <w:r>
        <w:rPr>
          <w:rFonts w:ascii="Arial" w:cs="Arial" w:eastAsia="Arial" w:hAnsi="Arial"/>
          <w:sz w:val="24"/>
          <w:szCs w:val="24"/>
        </w:rPr>
        <w:t xml:space="preserve">Процентный скоринг определяется уполномоченным органом.</w:t>
      </w:r>
    </w:p>
    <w:p>
      <w:pPr>
        <w:spacing w:after="120"/>
        <w:ind w:firstLine="397"/>
        <w:jc w:val="both"/>
      </w:pPr>
      <w:r>
        <w:rPr>
          <w:rFonts w:ascii="Arial" w:cs="Arial" w:eastAsia="Arial" w:hAnsi="Arial"/>
          <w:sz w:val="24"/>
          <w:szCs w:val="24"/>
        </w:rPr>
        <w:t xml:space="preserve">8. В случае если оператор обмена виртуальных активов предоставляет клиентам возможность создания электронного личного кабинета на своей платформе, оператор обмена виртуальных активов обязан принимать меры по исключению создания одним и тем же клиентом двух и более электронных личных кабинетов.</w:t>
      </w:r>
    </w:p>
    <w:p>
      <w:pPr>
        <w:spacing w:after="120"/>
        <w:ind w:firstLine="397"/>
        <w:jc w:val="both"/>
      </w:pPr>
      <w:r>
        <w:rPr>
          <w:rFonts w:ascii="Arial" w:cs="Arial" w:eastAsia="Arial" w:hAnsi="Arial"/>
          <w:sz w:val="24"/>
          <w:szCs w:val="24"/>
        </w:rPr>
        <w:t xml:space="preserve">9. Оператор обмена виртуальных активов не вправе устанавливать отношения с:</w:t>
      </w:r>
    </w:p>
    <w:p>
      <w:pPr>
        <w:spacing w:after="120"/>
        <w:ind w:firstLine="397"/>
        <w:jc w:val="both"/>
      </w:pPr>
      <w:r>
        <w:rPr>
          <w:rFonts w:ascii="Arial" w:cs="Arial" w:eastAsia="Arial" w:hAnsi="Arial"/>
          <w:sz w:val="24"/>
          <w:szCs w:val="24"/>
        </w:rPr>
        <w:t xml:space="preserve">- физическими лицами, не достигшими 18 лет;</w:t>
      </w:r>
    </w:p>
    <w:p>
      <w:pPr>
        <w:spacing w:after="120"/>
        <w:ind w:firstLine="397"/>
        <w:jc w:val="both"/>
      </w:pPr>
      <w:r>
        <w:rPr>
          <w:rFonts w:ascii="Arial" w:cs="Arial" w:eastAsia="Arial" w:hAnsi="Arial"/>
          <w:sz w:val="24"/>
          <w:szCs w:val="24"/>
        </w:rPr>
        <w:t xml:space="preserve">- нерезидентами Кыргызской Республики, если это противоречит законодательству государства, гражданами (подданными) которого являются нерезиденты Кыргызской Республики и (или) на территории которого они имеют постоянное место жительства в соответствии с видом на жительство (или аналогичным документом) либо местонахождения (учреждены, зарегистрированы);</w:t>
      </w:r>
    </w:p>
    <w:p>
      <w:pPr>
        <w:spacing w:after="120"/>
        <w:ind w:firstLine="397"/>
        <w:jc w:val="both"/>
      </w:pPr>
      <w:r>
        <w:rPr>
          <w:rFonts w:ascii="Arial" w:cs="Arial" w:eastAsia="Arial" w:hAnsi="Arial"/>
          <w:sz w:val="24"/>
          <w:szCs w:val="24"/>
        </w:rPr>
        <w:t xml:space="preserve">- физическими лицами, индивидуальными предпринимателями, юридическими лицами, а также юридическими лицами, бенефициарные владельцы которых включены в санкционный перечень, определенный законодательством в сфере противодействия финансированию террористической деятельности и легализации (отмыванию) преступных доходов, а также противодействия финансированию экстремистской деятельности и финансированию распространения оружия массового уничтожения;</w:t>
      </w:r>
    </w:p>
    <w:p>
      <w:pPr>
        <w:spacing w:after="120"/>
        <w:ind w:firstLine="397"/>
        <w:jc w:val="both"/>
      </w:pPr>
      <w:r>
        <w:rPr>
          <w:rFonts w:ascii="Arial" w:cs="Arial" w:eastAsia="Arial" w:hAnsi="Arial"/>
          <w:sz w:val="24"/>
          <w:szCs w:val="24"/>
        </w:rPr>
        <w:t xml:space="preserve">- иными лицами, если это предусмотрено договорными обязательствами оператора обмена виртуальных активов или локальными актами оператора обмена виртуальных активов.</w:t>
      </w:r>
    </w:p>
    <w:p>
      <w:pPr>
        <w:spacing w:after="120"/>
        <w:ind w:firstLine="397"/>
        <w:jc w:val="both"/>
      </w:pPr>
      <w:r>
        <w:rPr>
          <w:rFonts w:ascii="Arial" w:cs="Arial" w:eastAsia="Arial" w:hAnsi="Arial"/>
          <w:sz w:val="24"/>
          <w:szCs w:val="24"/>
        </w:rPr>
        <w:t xml:space="preserve">10. До совершения с гражданами Кыргызской Республики сделок по продаже им виртуальных активов за денежные средства или электронные деньги либо по обмену виртуальных активов одного вида на виртуальные активы другого вида оператор обмена виртуальных активов обязан убедиться в том, что они обладают достаточным уровнем знаний (компетентности) для совершения таких сделок. Оператор обмена виртуальных активов не вправе совершать названные сделки с теми гражданами Кыргызской Республики, в отношении которых он установил, что они таким уровнем знаний (компетентности) не обладают.</w:t>
      </w:r>
    </w:p>
    <w:p>
      <w:pPr>
        <w:spacing w:after="120"/>
        <w:ind w:firstLine="397"/>
        <w:jc w:val="both"/>
      </w:pPr>
      <w:r>
        <w:rPr>
          <w:rFonts w:ascii="Arial" w:cs="Arial" w:eastAsia="Arial" w:hAnsi="Arial"/>
          <w:sz w:val="24"/>
          <w:szCs w:val="24"/>
        </w:rPr>
        <w:t xml:space="preserve">Определение уровня знаний (компетентности) для совершения сделок, указанных в абзаце первом настоящего пункта, производится оператором обмена виртуальных активов посредством представления гражданам Кыргызской Республики вопросника (теста) для заполнения (решения).</w:t>
      </w:r>
    </w:p>
    <w:p>
      <w:pPr>
        <w:spacing w:after="120"/>
        <w:ind w:firstLine="397"/>
        <w:jc w:val="both"/>
      </w:pPr>
      <w:r>
        <w:rPr>
          <w:rFonts w:ascii="Arial" w:cs="Arial" w:eastAsia="Arial" w:hAnsi="Arial"/>
          <w:sz w:val="24"/>
          <w:szCs w:val="24"/>
        </w:rPr>
        <w:t xml:space="preserve">Вопросник (тест) и изменения/дополнения к нему подлежат согласованию с уполномоченным органом в порядке и сроки, установленные уполномоченным органом.</w:t>
      </w:r>
    </w:p>
    <w:p>
      <w:pPr>
        <w:spacing w:after="120"/>
        <w:ind w:firstLine="397"/>
        <w:jc w:val="both"/>
      </w:pPr>
      <w:r>
        <w:rPr>
          <w:rFonts w:ascii="Arial" w:cs="Arial" w:eastAsia="Arial" w:hAnsi="Arial"/>
          <w:sz w:val="24"/>
          <w:szCs w:val="24"/>
        </w:rPr>
        <w:t xml:space="preserve">Уполномоченный орган после получения соответствующего уведомления анализирует полученный вопросник (тест) и в случае наличия замечаний/предложений в течение 30 (тридцати) календарных дней со дня регистрации уведомления информирует оператора обмена виртуальных активов о необходимости проработки вопросника (теста).</w:t>
      </w:r>
    </w:p>
    <w:p>
      <w:pPr>
        <w:spacing w:after="120"/>
        <w:ind w:firstLine="397"/>
        <w:jc w:val="both"/>
      </w:pPr>
      <w:r>
        <w:rPr>
          <w:rFonts w:ascii="Arial" w:cs="Arial" w:eastAsia="Arial" w:hAnsi="Arial"/>
          <w:sz w:val="24"/>
          <w:szCs w:val="24"/>
        </w:rPr>
        <w:t xml:space="preserve">Оператор обмена виртуальных активов должен информировать клиента о рисках при осуществлении сделок с виртуальными активами.</w:t>
      </w:r>
    </w:p>
    <w:p>
      <w:pPr>
        <w:spacing w:after="120"/>
        <w:ind w:firstLine="397"/>
        <w:jc w:val="both"/>
      </w:pPr>
      <w:r>
        <w:rPr>
          <w:rFonts w:ascii="Arial" w:cs="Arial" w:eastAsia="Arial" w:hAnsi="Arial"/>
          <w:sz w:val="24"/>
          <w:szCs w:val="24"/>
        </w:rPr>
        <w:t xml:space="preserve">11. Оператор обмена виртуальных активов обязан обеспечить хранение документов по идентификации и верификации клиента, в том числе удаленной идентификации и верификации клиента, соответствующих анкет клиента, договора, а в случае, если клиент юридическое лицо - учредительных документов, свидетельства о регистрации, а также документов, полученных в ходе определения уровня знаний (компетентности), предусмотренного в пункте 10 настоящего Положения, не менее 5 (пять) лет с даты получения таких документов.</w:t>
      </w:r>
    </w:p>
    <w:p>
      <w:pPr>
        <w:spacing w:after="120"/>
        <w:ind w:firstLine="397"/>
        <w:jc w:val="both"/>
      </w:pPr>
      <w:r>
        <w:rPr>
          <w:rFonts w:ascii="Arial" w:cs="Arial" w:eastAsia="Arial" w:hAnsi="Arial"/>
          <w:sz w:val="24"/>
          <w:szCs w:val="24"/>
        </w:rPr>
        <w:t xml:space="preserve">12. Оператор обмена виртуальных активов вправе определить критерии, которым должны соответствовать нерезиденты Кыргызской Республики, а также юридические лица Кыргызской Республики для установления с ними отношений (в том числе требования к финансовому состоянию и репутации).</w:t>
      </w:r>
    </w:p>
    <w:p>
      <w:pPr>
        <w:spacing w:after="120"/>
        <w:ind w:firstLine="397"/>
        <w:jc w:val="both"/>
      </w:pPr>
      <w:r>
        <w:rPr>
          <w:rFonts w:ascii="Arial" w:cs="Arial" w:eastAsia="Arial" w:hAnsi="Arial"/>
          <w:sz w:val="24"/>
          <w:szCs w:val="24"/>
        </w:rPr>
        <w:t xml:space="preserve">Установленные оператором обмена виртуальных активов критерии должны соответствовать требованиям законодательства Кыргызской Республики в части противодействия финансированию преступной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13. Оператор обмена виртуальных активов обязан:</w:t>
      </w:r>
    </w:p>
    <w:p>
      <w:pPr>
        <w:spacing w:after="120"/>
        <w:ind w:firstLine="397"/>
        <w:jc w:val="both"/>
      </w:pPr>
      <w:r>
        <w:rPr>
          <w:rFonts w:ascii="Arial" w:cs="Arial" w:eastAsia="Arial" w:hAnsi="Arial"/>
          <w:sz w:val="24"/>
          <w:szCs w:val="24"/>
        </w:rPr>
        <w:t xml:space="preserve">- производить звукозапись (видеозапись) переговоров с клиентами, осуществляемых с использованием средств связи (с обязательным предварительным уведомлением об этом клиента);</w:t>
      </w:r>
    </w:p>
    <w:p>
      <w:pPr>
        <w:spacing w:after="120"/>
        <w:ind w:firstLine="397"/>
        <w:jc w:val="both"/>
      </w:pPr>
      <w:r>
        <w:rPr>
          <w:rFonts w:ascii="Arial" w:cs="Arial" w:eastAsia="Arial" w:hAnsi="Arial"/>
          <w:sz w:val="24"/>
          <w:szCs w:val="24"/>
        </w:rPr>
        <w:t xml:space="preserve">- хранить данные звукозаписи (видеозаписи) и всю переписку с клиентами в течение не менее 5 календарных лет с даты осуществления (возникновения) таких звукозаписей (видеозаписей) и переписки;</w:t>
      </w:r>
    </w:p>
    <w:p>
      <w:pPr>
        <w:spacing w:after="120"/>
        <w:ind w:firstLine="397"/>
        <w:jc w:val="both"/>
      </w:pPr>
      <w:r>
        <w:rPr>
          <w:rFonts w:ascii="Arial" w:cs="Arial" w:eastAsia="Arial" w:hAnsi="Arial"/>
          <w:sz w:val="24"/>
          <w:szCs w:val="24"/>
        </w:rPr>
        <w:t xml:space="preserve">- осуществлять резервное копирование всех данных о совершенных клиентами сделках (операциях) по завершении каждого рабочего дня;</w:t>
      </w:r>
    </w:p>
    <w:p>
      <w:pPr>
        <w:spacing w:after="120"/>
        <w:ind w:firstLine="397"/>
        <w:jc w:val="both"/>
      </w:pPr>
      <w:r>
        <w:rPr>
          <w:rFonts w:ascii="Arial" w:cs="Arial" w:eastAsia="Arial" w:hAnsi="Arial"/>
          <w:sz w:val="24"/>
          <w:szCs w:val="24"/>
        </w:rPr>
        <w:t xml:space="preserve">- обеспечивать своевременное исполнение заявок клиентов на покупку и (или) продажу виртуальных активов за денежные средства или электронные деньги либо обмен виртуальных активов одного вида на виртуальные активы другого вида в соответствии с настоящим Положением (при наличии возможности исполнить такие заявки);</w:t>
      </w:r>
    </w:p>
    <w:p>
      <w:pPr>
        <w:spacing w:after="120"/>
        <w:ind w:firstLine="397"/>
        <w:jc w:val="both"/>
      </w:pPr>
      <w:r>
        <w:rPr>
          <w:rFonts w:ascii="Arial" w:cs="Arial" w:eastAsia="Arial" w:hAnsi="Arial"/>
          <w:sz w:val="24"/>
          <w:szCs w:val="24"/>
        </w:rPr>
        <w:t xml:space="preserve">- принимать меры по обеспечению знания работниками оператора обмена виртуальных активов и лицами, привлеченными им по гражданско-правовым договорам, которые непосредственно вовлечены в осуществление деятельности оператора обмена виртуальных активов, законов в сфере оборота виртуальных активов, его локальных нормативных правовых актов, а также настоящего Положения;</w:t>
      </w:r>
    </w:p>
    <w:p>
      <w:pPr>
        <w:spacing w:after="120"/>
        <w:ind w:firstLine="397"/>
        <w:jc w:val="both"/>
      </w:pPr>
      <w:r>
        <w:rPr>
          <w:rFonts w:ascii="Arial" w:cs="Arial" w:eastAsia="Arial" w:hAnsi="Arial"/>
          <w:sz w:val="24"/>
          <w:szCs w:val="24"/>
        </w:rPr>
        <w:t xml:space="preserve">- выполнять другие требования, предусмотренные </w:t>
      </w:r>
      <w:hyperlink w:history="1" r:id="rIdrryweh3l-ucghjwe4fy6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а также настоящим Положением.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Требования к рекламе и информированию клиентов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Оператор обмена виртуальных активов обязан соблюдать требования к рекламе виртуальных активов и своей деятельности (в том числе побуждающей совершать через него сделки (операции) с виртуальными активами), предусмотренные </w:t>
      </w:r>
      <w:hyperlink w:history="1" r:id="rIdnkw8zzm93wiz7e8kqdux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 и настоящим Положением, и обеспечивать их реализацию.</w:t>
      </w:r>
    </w:p>
    <w:p>
      <w:pPr>
        <w:spacing w:after="120"/>
        <w:ind w:firstLine="397"/>
        <w:jc w:val="both"/>
      </w:pPr>
      <w:r>
        <w:rPr>
          <w:rFonts w:ascii="Arial" w:cs="Arial" w:eastAsia="Arial" w:hAnsi="Arial"/>
          <w:sz w:val="24"/>
          <w:szCs w:val="24"/>
        </w:rPr>
        <w:t xml:space="preserve">15. Настоящим Положением определяются следующие требования к рекламе виртуальных активов и деятельности оператора обмена виртуальных активов, размещаемой (распространяемой) на территории Кыргызской Республики (в том числе с привлечением третьих лиц):</w:t>
      </w:r>
    </w:p>
    <w:p>
      <w:pPr>
        <w:spacing w:after="120"/>
        <w:ind w:firstLine="397"/>
        <w:jc w:val="both"/>
      </w:pPr>
      <w:r>
        <w:rPr>
          <w:rFonts w:ascii="Arial" w:cs="Arial" w:eastAsia="Arial" w:hAnsi="Arial"/>
          <w:sz w:val="24"/>
          <w:szCs w:val="24"/>
        </w:rPr>
        <w:t xml:space="preserve">- реклама должна быть ясной, добросовестной и не вводящей в заблуждение;</w:t>
      </w:r>
    </w:p>
    <w:p>
      <w:pPr>
        <w:spacing w:after="120"/>
        <w:ind w:firstLine="397"/>
        <w:jc w:val="both"/>
      </w:pPr>
      <w:r>
        <w:rPr>
          <w:rFonts w:ascii="Arial" w:cs="Arial" w:eastAsia="Arial" w:hAnsi="Arial"/>
          <w:sz w:val="24"/>
          <w:szCs w:val="24"/>
        </w:rPr>
        <w:t xml:space="preserve">- в рекламе должно быть размещено предупреждение о рисках, которым подвергаются лица, приобретающие виртуальные активы, в котором указано на то, что виртуальные активы не являются средством платежа, не обеспечиваются государством и приобретение виртуальных активов может привести к полной потере денежных средств и иных объектов гражданских прав, переданных в обмен на виртуальные активы (в том числе в результате волатильности стоимости виртуальных активов, технических сбоев (ошибок); совершения противоправных действий, включая хищение);</w:t>
      </w:r>
    </w:p>
    <w:p>
      <w:pPr>
        <w:spacing w:after="120"/>
        <w:ind w:firstLine="397"/>
        <w:jc w:val="both"/>
      </w:pPr>
      <w:r>
        <w:rPr>
          <w:rFonts w:ascii="Arial" w:cs="Arial" w:eastAsia="Arial" w:hAnsi="Arial"/>
          <w:sz w:val="24"/>
          <w:szCs w:val="24"/>
        </w:rPr>
        <w:t xml:space="preserve">- в рекламе должны раскрываться источник и форма вознаграждения, уплачиваемого распространителю рекламы, а также лицу, которое непосредственно доносит рекламу до потребителей такой рекламы, и лицу, которое изображено в данной рекламе (либо в случае безвозмездного характера соответствующих отношений должно констатироваться отсутствие вознаграждения);</w:t>
      </w:r>
    </w:p>
    <w:p>
      <w:pPr>
        <w:spacing w:after="120"/>
        <w:ind w:firstLine="397"/>
        <w:jc w:val="both"/>
      </w:pPr>
      <w:r>
        <w:rPr>
          <w:rFonts w:ascii="Arial" w:cs="Arial" w:eastAsia="Arial" w:hAnsi="Arial"/>
          <w:sz w:val="24"/>
          <w:szCs w:val="24"/>
        </w:rPr>
        <w:t xml:space="preserve">- если в рекламе содержится информация о прошлых результатах, прогнозируемых результатах или предполагаемых ожидаемых результатах, она должна быть ясной и недвусмысленно раскрывать суть таких данных, время, в котором данные события имели место быть, и степень вероятности выводов, основанных на них, с соблюдением требований законодательства о рекламе;</w:t>
      </w:r>
    </w:p>
    <w:p>
      <w:pPr>
        <w:spacing w:after="120"/>
        <w:ind w:firstLine="397"/>
        <w:jc w:val="both"/>
      </w:pPr>
      <w:r>
        <w:rPr>
          <w:rFonts w:ascii="Arial" w:cs="Arial" w:eastAsia="Arial" w:hAnsi="Arial"/>
          <w:sz w:val="24"/>
          <w:szCs w:val="24"/>
        </w:rPr>
        <w:t xml:space="preserve">- содержание рекламы, включающей оферту, должно предусматривать все условия предлагаемого к заключению договора, а также описание действий, которые приводят к акцепту данной оферты;</w:t>
      </w:r>
    </w:p>
    <w:p>
      <w:pPr>
        <w:spacing w:after="120"/>
        <w:ind w:firstLine="397"/>
        <w:jc w:val="both"/>
      </w:pPr>
      <w:r>
        <w:rPr>
          <w:rFonts w:ascii="Arial" w:cs="Arial" w:eastAsia="Arial" w:hAnsi="Arial"/>
          <w:sz w:val="24"/>
          <w:szCs w:val="24"/>
        </w:rPr>
        <w:t xml:space="preserve">- при упоминании в рекламе налоговых льгот (в случае таковых) данные льготы должны быть детальным образом описаны.</w:t>
      </w:r>
    </w:p>
    <w:p>
      <w:pPr>
        <w:spacing w:after="120"/>
        <w:ind w:firstLine="397"/>
        <w:jc w:val="both"/>
      </w:pPr>
      <w:r>
        <w:rPr>
          <w:rFonts w:ascii="Arial" w:cs="Arial" w:eastAsia="Arial" w:hAnsi="Arial"/>
          <w:sz w:val="24"/>
          <w:szCs w:val="24"/>
        </w:rPr>
        <w:t xml:space="preserve">16. Реклама не должна содержать (в рекламе не должны использоваться) обещание или гарантию будущей эффективности (доходности) деятельности, связанной с использованием виртуальных активов, или самих виртуальных активов.</w:t>
      </w:r>
    </w:p>
    <w:p>
      <w:pPr>
        <w:spacing w:after="120"/>
        <w:ind w:firstLine="397"/>
        <w:jc w:val="both"/>
      </w:pPr>
      <w:r>
        <w:rPr>
          <w:rFonts w:ascii="Arial" w:cs="Arial" w:eastAsia="Arial" w:hAnsi="Arial"/>
          <w:sz w:val="24"/>
          <w:szCs w:val="24"/>
        </w:rPr>
        <w:t xml:space="preserve">Использование в рекламе сведений об эффективности (доходности) деятельности, связанной с использованием виртуальных активов, или самих виртуальных активов допускается при наличии у оператора обмена виртуальных активов соответствующих данных финансовой отчетности за последний завершенный финансовый год, достоверность которых подтверждена аудиторской организацией.</w:t>
      </w:r>
    </w:p>
    <w:p>
      <w:pPr>
        <w:spacing w:after="120"/>
        <w:ind w:firstLine="397"/>
        <w:jc w:val="both"/>
      </w:pPr>
      <w:r>
        <w:rPr>
          <w:rFonts w:ascii="Arial" w:cs="Arial" w:eastAsia="Arial" w:hAnsi="Arial"/>
          <w:sz w:val="24"/>
          <w:szCs w:val="24"/>
        </w:rPr>
        <w:t xml:space="preserve">В рекламе запрещается использовать:</w:t>
      </w:r>
    </w:p>
    <w:p>
      <w:pPr>
        <w:spacing w:after="120"/>
        <w:ind w:firstLine="397"/>
        <w:jc w:val="both"/>
      </w:pPr>
      <w:r>
        <w:rPr>
          <w:rFonts w:ascii="Arial" w:cs="Arial" w:eastAsia="Arial" w:hAnsi="Arial"/>
          <w:sz w:val="24"/>
          <w:szCs w:val="24"/>
        </w:rPr>
        <w:t xml:space="preserve">- информацию о предметах роскоши, бонусах и скидках;</w:t>
      </w:r>
    </w:p>
    <w:p>
      <w:pPr>
        <w:spacing w:after="120"/>
        <w:ind w:firstLine="397"/>
        <w:jc w:val="both"/>
      </w:pPr>
      <w:r>
        <w:rPr>
          <w:rFonts w:ascii="Arial" w:cs="Arial" w:eastAsia="Arial" w:hAnsi="Arial"/>
          <w:sz w:val="24"/>
          <w:szCs w:val="24"/>
        </w:rPr>
        <w:t xml:space="preserve">- информацию о совершении сделок с виртуальными активами как о легком способе обогащения;</w:t>
      </w:r>
    </w:p>
    <w:p>
      <w:pPr>
        <w:spacing w:after="120"/>
        <w:ind w:firstLine="397"/>
        <w:jc w:val="both"/>
      </w:pPr>
      <w:r>
        <w:rPr>
          <w:rFonts w:ascii="Arial" w:cs="Arial" w:eastAsia="Arial" w:hAnsi="Arial"/>
          <w:sz w:val="24"/>
          <w:szCs w:val="24"/>
        </w:rPr>
        <w:t xml:space="preserve">- утверждения о том, что совершение сделок с виртуальными активами имеет важное значение для достижения общественного признания, профессионального или личного успеха;</w:t>
      </w:r>
    </w:p>
    <w:p>
      <w:pPr>
        <w:spacing w:after="120"/>
        <w:ind w:firstLine="397"/>
        <w:jc w:val="both"/>
      </w:pPr>
      <w:r>
        <w:rPr>
          <w:rFonts w:ascii="Arial" w:cs="Arial" w:eastAsia="Arial" w:hAnsi="Arial"/>
          <w:sz w:val="24"/>
          <w:szCs w:val="24"/>
        </w:rPr>
        <w:t xml:space="preserve">- образы несовершеннолетних лиц;</w:t>
      </w:r>
    </w:p>
    <w:p>
      <w:pPr>
        <w:spacing w:after="120"/>
        <w:ind w:firstLine="397"/>
        <w:jc w:val="both"/>
      </w:pPr>
      <w:r>
        <w:rPr>
          <w:rFonts w:ascii="Arial" w:cs="Arial" w:eastAsia="Arial" w:hAnsi="Arial"/>
          <w:sz w:val="24"/>
          <w:szCs w:val="24"/>
        </w:rPr>
        <w:t xml:space="preserve">- высказывания, которые преувеличивают вероятность получения дохода в результате совершения сделок с виртуальными активами или преуменьшают степень риска полной утраты (потери) денег и иных объектов гражданских прав, переданных в оплату виртуальных активов или в обмен на виртуальные активы;</w:t>
      </w:r>
    </w:p>
    <w:p>
      <w:pPr>
        <w:spacing w:after="120"/>
        <w:ind w:firstLine="397"/>
        <w:jc w:val="both"/>
      </w:pPr>
      <w:r>
        <w:rPr>
          <w:rFonts w:ascii="Arial" w:cs="Arial" w:eastAsia="Arial" w:hAnsi="Arial"/>
          <w:sz w:val="24"/>
          <w:szCs w:val="24"/>
        </w:rPr>
        <w:t xml:space="preserve">- высказывания, осуждающие неучастие в общественных отношениях, связанных с использованием виртуальных активов.</w:t>
      </w:r>
    </w:p>
    <w:p>
      <w:pPr>
        <w:spacing w:after="120"/>
        <w:ind w:firstLine="397"/>
        <w:jc w:val="both"/>
      </w:pPr>
      <w:r>
        <w:rPr>
          <w:rFonts w:ascii="Arial" w:cs="Arial" w:eastAsia="Arial" w:hAnsi="Arial"/>
          <w:sz w:val="24"/>
          <w:szCs w:val="24"/>
        </w:rPr>
        <w:t xml:space="preserve">17. Оператор обмена виртуальных активов обязан обеспечить получение предварительного письменного согласования текста рекламы виртуальных активов от руководителя уполномоченного органа в сфере регулирования виртуальных активов.</w:t>
      </w:r>
    </w:p>
    <w:p>
      <w:pPr>
        <w:spacing w:after="120"/>
        <w:ind w:firstLine="397"/>
        <w:jc w:val="both"/>
      </w:pPr>
      <w:r>
        <w:rPr>
          <w:rFonts w:ascii="Arial" w:cs="Arial" w:eastAsia="Arial" w:hAnsi="Arial"/>
          <w:sz w:val="24"/>
          <w:szCs w:val="24"/>
        </w:rPr>
        <w:t xml:space="preserve">18. Оператор обмена виртуальных активов обязан обеспечить сообщение клиентам информации, при этом внимание клиента должно быть привлечено к сроку исполнения заявок клиентов на покупку и (или) продажу виртуальных активов за деньги или электронные деньги либо обмен виртуальных активов одного вида на виртуальные активы другого вида, а также порядку изменения и прекращения договора оператором обмена виртуальных активов в одностороннем порядке (если такой порядок предусмотрен в договоре).</w:t>
      </w:r>
    </w:p>
    <w:p>
      <w:pPr>
        <w:spacing w:after="120"/>
        <w:ind w:firstLine="397"/>
        <w:jc w:val="both"/>
      </w:pPr>
      <w:r>
        <w:rPr>
          <w:rFonts w:ascii="Arial" w:cs="Arial" w:eastAsia="Arial" w:hAnsi="Arial"/>
          <w:sz w:val="24"/>
          <w:szCs w:val="24"/>
        </w:rPr>
        <w:t xml:space="preserve">Оператор обмена виртуальных активов до совершения с ним соответствующей сделки обязан довести до сведения клиента:</w:t>
      </w:r>
    </w:p>
    <w:p>
      <w:pPr>
        <w:spacing w:after="120"/>
        <w:ind w:firstLine="397"/>
        <w:jc w:val="both"/>
      </w:pPr>
      <w:r>
        <w:rPr>
          <w:rFonts w:ascii="Arial" w:cs="Arial" w:eastAsia="Arial" w:hAnsi="Arial"/>
          <w:sz w:val="24"/>
          <w:szCs w:val="24"/>
        </w:rPr>
        <w:t xml:space="preserve">- о рисках, которым подвергаются лица, приобретающие виртуальные активы, с указанием на то, что виртуальные активы не являются средством платежа, не обеспечиваются государством и приобретение виртуальных активов может привести к полной потере денежных средств и иных объектов гражданских прав (инвестиций), переданных в обмен на виртуальные активы (в том числе в результате волатильности стоимости виртуальных активов, технических сбоев (ошибок), совершения противоправных действий, включая хищение);</w:t>
      </w:r>
    </w:p>
    <w:p>
      <w:pPr>
        <w:spacing w:after="120"/>
        <w:ind w:firstLine="397"/>
        <w:jc w:val="both"/>
      </w:pPr>
      <w:r>
        <w:rPr>
          <w:rFonts w:ascii="Arial" w:cs="Arial" w:eastAsia="Arial" w:hAnsi="Arial"/>
          <w:sz w:val="24"/>
          <w:szCs w:val="24"/>
        </w:rPr>
        <w:t xml:space="preserve">- о том, что объектом сделки, планируемой к совершению оператором обмена виртуальных активов, выступают обеспеченные или необеспеченные виртуальные активы, которые были размещены (не в части эмиссии) на его платформе.</w:t>
      </w:r>
    </w:p>
    <w:p>
      <w:pPr>
        <w:spacing w:after="120"/>
        <w:ind w:firstLine="397"/>
        <w:jc w:val="both"/>
      </w:pPr>
      <w:r>
        <w:rPr>
          <w:rFonts w:ascii="Arial" w:cs="Arial" w:eastAsia="Arial" w:hAnsi="Arial"/>
          <w:sz w:val="24"/>
          <w:szCs w:val="24"/>
        </w:rPr>
        <w:t xml:space="preserve">19. Информация, которая должна быть доведена каждому клиенту в отдельности (с получением оператором обмена виртуальных активов подтверждения факта ознакомления клиента с ней), должна быть в доступной для клиента форме (текст должен быть четким и легко воспринимаемым, в том числе быть представленным в логически структурированном виде и без использования в нем сложных для восприятия словесных конструкций, в легко читаемом размере шрифта).</w:t>
      </w:r>
    </w:p>
    <w:p>
      <w:pPr>
        <w:spacing w:after="120"/>
        <w:ind w:firstLine="397"/>
        <w:jc w:val="both"/>
      </w:pPr>
      <w:r>
        <w:rPr>
          <w:rFonts w:ascii="Arial" w:cs="Arial" w:eastAsia="Arial" w:hAnsi="Arial"/>
          <w:sz w:val="24"/>
          <w:szCs w:val="24"/>
        </w:rPr>
        <w:t xml:space="preserve">Посредством изложения текстом, исключающим различное толкование (должны быть даны понятные определения) до установления отношений с клиентом независимо от того, сообщалась ли такая информация в рекламе о деятельности оператора обмена виртуальных активов.</w:t>
      </w:r>
    </w:p>
    <w:p>
      <w:pPr>
        <w:spacing w:after="120"/>
        <w:ind w:firstLine="397"/>
        <w:jc w:val="both"/>
      </w:pPr>
      <w:r>
        <w:rPr>
          <w:rFonts w:ascii="Arial" w:cs="Arial" w:eastAsia="Arial" w:hAnsi="Arial"/>
          <w:sz w:val="24"/>
          <w:szCs w:val="24"/>
        </w:rPr>
        <w:t xml:space="preserve">Информация должна быть размещена на главной странице соответствующего сайта оператора обмена виртуальных активов или на отдельной странице этого сайта с принятием мер по привлечению к ней внимания посетителей данного сайта.</w:t>
      </w:r>
    </w:p>
    <w:p>
      <w:pPr>
        <w:spacing w:after="120"/>
        <w:ind w:firstLine="397"/>
        <w:jc w:val="both"/>
      </w:pPr>
      <w:r>
        <w:rPr>
          <w:rFonts w:ascii="Arial" w:cs="Arial" w:eastAsia="Arial" w:hAnsi="Arial"/>
          <w:sz w:val="24"/>
          <w:szCs w:val="24"/>
        </w:rPr>
        <w:t xml:space="preserve">Оператор обмена виртуальных активов не вправе предоставлять клиентам консультации, которые могут побудить клиентов приобретать или реализовывать конкретные виды виртуальных активов.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совершения оператором обмена виртуальных</w:t>
      </w:r>
    </w:p>
    <w:p>
      <w:pPr>
        <w:spacing w:after="240" w:before="200"/>
        <w:jc w:val="center"/>
      </w:pPr>
      <w:r>
        <w:rPr>
          <w:rFonts w:ascii="Arial" w:cs="Arial" w:eastAsia="Arial" w:hAnsi="Arial"/>
          <w:b/>
          <w:bCs/>
          <w:sz w:val="32"/>
          <w:szCs w:val="32"/>
        </w:rPr>
        <w:t xml:space="preserve">активов сделок с виртуальными активами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Оператор обмена виртуальных активов совершает следующие сделки с виртуальными активами:</w:t>
      </w:r>
    </w:p>
    <w:p>
      <w:pPr>
        <w:spacing w:after="120"/>
        <w:ind w:firstLine="397"/>
        <w:jc w:val="both"/>
      </w:pPr>
      <w:r>
        <w:rPr>
          <w:rFonts w:ascii="Arial" w:cs="Arial" w:eastAsia="Arial" w:hAnsi="Arial"/>
          <w:sz w:val="24"/>
          <w:szCs w:val="24"/>
        </w:rPr>
        <w:t xml:space="preserve">- покупка виртуальных активов за национальную валюту, иностранную валюту, электронные деньги, в том числе международные электронные деньги;</w:t>
      </w:r>
    </w:p>
    <w:p>
      <w:pPr>
        <w:spacing w:after="120"/>
        <w:ind w:firstLine="397"/>
        <w:jc w:val="both"/>
      </w:pPr>
      <w:r>
        <w:rPr>
          <w:rFonts w:ascii="Arial" w:cs="Arial" w:eastAsia="Arial" w:hAnsi="Arial"/>
          <w:sz w:val="24"/>
          <w:szCs w:val="24"/>
        </w:rPr>
        <w:t xml:space="preserve">- продажа виртуальных активов за национальную валюту, иностранную валюту, электронные деньги, в том числе международные электронные деньги;</w:t>
      </w:r>
    </w:p>
    <w:p>
      <w:pPr>
        <w:spacing w:after="120"/>
        <w:ind w:firstLine="397"/>
        <w:jc w:val="both"/>
      </w:pPr>
      <w:r>
        <w:rPr>
          <w:rFonts w:ascii="Arial" w:cs="Arial" w:eastAsia="Arial" w:hAnsi="Arial"/>
          <w:sz w:val="24"/>
          <w:szCs w:val="24"/>
        </w:rPr>
        <w:t xml:space="preserve">- обмен виртуальных активов одного вида на виртуальные активы другого вида.</w:t>
      </w:r>
    </w:p>
    <w:p>
      <w:pPr>
        <w:spacing w:after="120"/>
        <w:ind w:firstLine="397"/>
        <w:jc w:val="both"/>
      </w:pPr>
      <w:r>
        <w:rPr>
          <w:rFonts w:ascii="Arial" w:cs="Arial" w:eastAsia="Arial" w:hAnsi="Arial"/>
          <w:sz w:val="24"/>
          <w:szCs w:val="24"/>
        </w:rPr>
        <w:t xml:space="preserve">21. Сделки с виртуальными активами совершаются оператором обмена виртуальных активов от собственного имени и в своих интересах с использованием специализированной платформы (информационных систем и (или) программно-технических комплексов, работающих в режиме самообслуживания). Операционные требования к специализированной платформе оператора обмена виртуальных активов утверждаются приказом уполномоченного органа.</w:t>
      </w:r>
    </w:p>
    <w:p>
      <w:pPr>
        <w:spacing w:after="120"/>
        <w:ind w:firstLine="397"/>
        <w:jc w:val="both"/>
      </w:pPr>
      <w:r>
        <w:rPr>
          <w:rFonts w:ascii="Arial" w:cs="Arial" w:eastAsia="Arial" w:hAnsi="Arial"/>
          <w:sz w:val="24"/>
          <w:szCs w:val="24"/>
        </w:rPr>
        <w:t xml:space="preserve">Для совершения сделки с виртуальными активами оператор обмена виртуальных активов получает от клиентов заявки на покупку и/или продажу виртуальных активов за денежные средства или электронные деньги либо обмен виртуальных активов одного вида на виртуальные активы другого вида, которые в том числе могут являться офертами.</w:t>
      </w:r>
    </w:p>
    <w:p>
      <w:pPr>
        <w:spacing w:after="120"/>
        <w:ind w:firstLine="397"/>
        <w:jc w:val="both"/>
      </w:pPr>
      <w:r>
        <w:rPr>
          <w:rFonts w:ascii="Arial" w:cs="Arial" w:eastAsia="Arial" w:hAnsi="Arial"/>
          <w:sz w:val="24"/>
          <w:szCs w:val="24"/>
        </w:rPr>
        <w:t xml:space="preserve">Требования к содержанию заявок должны соответствовать законодательству Кыргызской Республики и определяются внутренними документами оператора обмена виртуальных активов, в которых должны быть четко определены условия их принятия, исполнения и расчетов. При наличии возможности исполнить заявку, отвечающую указанным требованиям, оператор обмена виртуальных активов обязан принять ее и исполнить.</w:t>
      </w:r>
    </w:p>
    <w:p>
      <w:pPr>
        <w:spacing w:after="120"/>
        <w:ind w:firstLine="397"/>
        <w:jc w:val="both"/>
      </w:pPr>
      <w:r>
        <w:rPr>
          <w:rFonts w:ascii="Arial" w:cs="Arial" w:eastAsia="Arial" w:hAnsi="Arial"/>
          <w:sz w:val="24"/>
          <w:szCs w:val="24"/>
        </w:rPr>
        <w:t xml:space="preserve">Исполнение заявки должно производиться оператором обмена виртуальных активов после ее получения и по той цене, которая была сообщена клиенту в день направления клиентом соответствующей заявки и согласно договорным отношениям с клиентом. Оператор обмена виртуальных активов обязан обеспечить фиксацию времени наступления данного момента с точностью до минут и отправление клиенту электронного уведомления и/или документа, предусматривающего фиксацию даты, времени, курса покупки, продажи и/или обмена виртуального актива, суммы и объема сделки.</w:t>
      </w:r>
    </w:p>
    <w:p>
      <w:pPr>
        <w:spacing w:after="120"/>
        <w:ind w:firstLine="397"/>
        <w:jc w:val="both"/>
      </w:pPr>
      <w:r>
        <w:rPr>
          <w:rFonts w:ascii="Arial" w:cs="Arial" w:eastAsia="Arial" w:hAnsi="Arial"/>
          <w:sz w:val="24"/>
          <w:szCs w:val="24"/>
        </w:rPr>
        <w:t xml:space="preserve">22. При использовании в своей деятельности специализированной платформы программно-технических комплексов, работающих в режиме самообслуживания, оператор обмена виртуальных активов обязан принять меры по обеспечению их сохранности, в том числе обеспечить наличие в местах их нахождения видеонаблюдения, а также заключить направленный на круглосуточную охрану данных комплексов Договор об оказании охраны уполномоченным органом в сфере по обеспечению общественного порядка и безопасности, а также по борьбе с преступностью либо лицензированным охранным агентством охранных услуг по охране объектов (имущества) юридических лиц или индивидуальных предпринимателей с использованием средств и систем охраны.</w:t>
      </w:r>
    </w:p>
    <w:p>
      <w:pPr>
        <w:spacing w:after="120"/>
        <w:ind w:firstLine="397"/>
        <w:jc w:val="both"/>
      </w:pPr>
      <w:r>
        <w:rPr>
          <w:rFonts w:ascii="Arial" w:cs="Arial" w:eastAsia="Arial" w:hAnsi="Arial"/>
          <w:sz w:val="24"/>
          <w:szCs w:val="24"/>
        </w:rPr>
        <w:t xml:space="preserve">23. Незамедлительно после совершения с клиентом сделки с виртуальными активами оператор обмена виртуальных активов обязан отправить клиенту электронное сообщение или иной подтверждающий документ, а в случае совершения сделки с виртуальными активами посредством программно-технического комплекса, работающего в режиме самообслуживания, предоставить чек, содержащее (содержащий) все условия совершенной сделки.</w:t>
      </w:r>
    </w:p>
    <w:p>
      <w:pPr>
        <w:spacing w:after="120"/>
        <w:ind w:firstLine="397"/>
        <w:jc w:val="both"/>
      </w:pPr>
      <w:r>
        <w:rPr>
          <w:rFonts w:ascii="Arial" w:cs="Arial" w:eastAsia="Arial" w:hAnsi="Arial"/>
          <w:sz w:val="24"/>
          <w:szCs w:val="24"/>
        </w:rPr>
        <w:t xml:space="preserve">24. Оператор обмена виртуальных активов обязан предпринимать меры, исключающие совершение анонимных сделок с виртуальными активами, которые созданы и (или) размещены с нарушением законодательства Кыргызской Республики в сфере оборота виртуальных активов.</w:t>
      </w:r>
    </w:p>
    <w:p>
      <w:pPr>
        <w:spacing w:after="120"/>
        <w:ind w:firstLine="397"/>
        <w:jc w:val="both"/>
      </w:pPr>
      <w:r>
        <w:rPr>
          <w:rFonts w:ascii="Arial" w:cs="Arial" w:eastAsia="Arial" w:hAnsi="Arial"/>
          <w:sz w:val="24"/>
          <w:szCs w:val="24"/>
        </w:rPr>
        <w:t xml:space="preserve">Операторам обмена виртуальных активов запрещается:</w:t>
      </w:r>
    </w:p>
    <w:p>
      <w:pPr>
        <w:spacing w:after="120"/>
        <w:ind w:firstLine="397"/>
        <w:jc w:val="both"/>
      </w:pPr>
      <w:r>
        <w:rPr>
          <w:rFonts w:ascii="Arial" w:cs="Arial" w:eastAsia="Arial" w:hAnsi="Arial"/>
          <w:sz w:val="24"/>
          <w:szCs w:val="24"/>
        </w:rPr>
        <w:t xml:space="preserve">- использовать в деятельности кошельки виртуальных активов повышенной конфиденциальности (Private Wallets), если обладатели/держатели таких кошельков не были идентифицированы;</w:t>
      </w:r>
    </w:p>
    <w:p>
      <w:pPr>
        <w:spacing w:after="120"/>
        <w:ind w:firstLine="397"/>
        <w:jc w:val="both"/>
      </w:pPr>
      <w:r>
        <w:rPr>
          <w:rFonts w:ascii="Arial" w:cs="Arial" w:eastAsia="Arial" w:hAnsi="Arial"/>
          <w:sz w:val="24"/>
          <w:szCs w:val="24"/>
        </w:rPr>
        <w:t xml:space="preserve">- использовать в деятельности токены с уникальными характеристиками (NFT);</w:t>
      </w:r>
    </w:p>
    <w:p>
      <w:pPr>
        <w:spacing w:after="120"/>
        <w:ind w:firstLine="397"/>
        <w:jc w:val="both"/>
      </w:pPr>
      <w:r>
        <w:rPr>
          <w:rFonts w:ascii="Arial" w:cs="Arial" w:eastAsia="Arial" w:hAnsi="Arial"/>
          <w:sz w:val="24"/>
          <w:szCs w:val="24"/>
        </w:rPr>
        <w:t xml:space="preserve">- использовать в деятельности предоплаченные карты, выпущенные зарубежными финансовыми учреждениями;</w:t>
      </w:r>
    </w:p>
    <w:p>
      <w:pPr>
        <w:spacing w:after="120"/>
        <w:ind w:firstLine="397"/>
        <w:jc w:val="both"/>
      </w:pPr>
      <w:r>
        <w:rPr>
          <w:rFonts w:ascii="Arial" w:cs="Arial" w:eastAsia="Arial" w:hAnsi="Arial"/>
          <w:sz w:val="24"/>
          <w:szCs w:val="24"/>
        </w:rPr>
        <w:t xml:space="preserve">- осуществлять переводы виртуальных активов и проводить операции с виртуальными активами, связанные с деятельностью онлайн казино и виртуальных казино;</w:t>
      </w:r>
    </w:p>
    <w:p>
      <w:pPr>
        <w:spacing w:after="120"/>
        <w:ind w:firstLine="397"/>
        <w:jc w:val="both"/>
      </w:pPr>
      <w:r>
        <w:rPr>
          <w:rFonts w:ascii="Arial" w:cs="Arial" w:eastAsia="Arial" w:hAnsi="Arial"/>
          <w:sz w:val="24"/>
          <w:szCs w:val="24"/>
        </w:rPr>
        <w:t xml:space="preserve">- осуществлять операции с виртуальными активами, кошельками виртуальных активов, имеющими высокий уровень рисков, выявленных в результате процентного скоринга.</w:t>
      </w:r>
    </w:p>
    <w:p>
      <w:pPr>
        <w:spacing w:after="120"/>
        <w:ind w:firstLine="397"/>
        <w:jc w:val="both"/>
      </w:pPr>
      <w:r>
        <w:rPr>
          <w:rFonts w:ascii="Arial" w:cs="Arial" w:eastAsia="Arial" w:hAnsi="Arial"/>
          <w:sz w:val="24"/>
          <w:szCs w:val="24"/>
        </w:rPr>
        <w:t xml:space="preserve">Списки виртуальных активов, запрещенных к использованию, определяются уполномоченным органом и опубликовываются на интернет-сайте уполномоченного органа. Исключения могут быть одобрены отдельным оператором обмена виртуальных активов по запросу последнего и при условии предоставления детального процесса идентификации держателей таких виртуальных активов и системы контроля/мониторинга операций, связанных с такими виртуальными активами.</w:t>
      </w:r>
    </w:p>
    <w:p>
      <w:pPr>
        <w:spacing w:after="120"/>
        <w:ind w:firstLine="397"/>
        <w:jc w:val="both"/>
      </w:pPr>
      <w:r>
        <w:rPr>
          <w:rFonts w:ascii="Arial" w:cs="Arial" w:eastAsia="Arial" w:hAnsi="Arial"/>
          <w:sz w:val="24"/>
          <w:szCs w:val="24"/>
        </w:rPr>
        <w:t xml:space="preserve">25. Для исполнения сделок с виртуальными активами оператор обмена виртуальных активов получает от клиента на свой текущий (расчетный) банковский счет, свой электронный кошелек, на свой адрес (идентификатор) виртуального кошелька соответственно деньги, электронные деньги, виртуальные активы и передает клиенту в зависимости от вида совершенной сделки с виртуальными активами в качестве встречного предоставления деньги, электронные деньги или виртуальные активы.</w:t>
      </w:r>
    </w:p>
    <w:p>
      <w:pPr>
        <w:spacing w:after="120"/>
        <w:ind w:firstLine="397"/>
        <w:jc w:val="both"/>
      </w:pPr>
      <w:r>
        <w:rPr>
          <w:rFonts w:ascii="Arial" w:cs="Arial" w:eastAsia="Arial" w:hAnsi="Arial"/>
          <w:sz w:val="24"/>
          <w:szCs w:val="24"/>
        </w:rPr>
        <w:t xml:space="preserve">При оказании услуг по покупке и продаже виртуальных активов операторы обмена виртуальных активов могут использовать только безналичный расчет.</w:t>
      </w:r>
    </w:p>
    <w:p>
      <w:pPr>
        <w:spacing w:after="120"/>
        <w:ind w:firstLine="397"/>
        <w:jc w:val="both"/>
      </w:pPr>
      <w:r>
        <w:rPr>
          <w:rFonts w:ascii="Arial" w:cs="Arial" w:eastAsia="Arial" w:hAnsi="Arial"/>
          <w:sz w:val="24"/>
          <w:szCs w:val="24"/>
        </w:rPr>
        <w:t xml:space="preserve">26. Последовательность исполнения сторонами указанных обязанностей по сделкам с виртуальными активами определяется в соответствующем договоре (соответствующих договорах) между оператором обмена виртуальных активов и клиентом.</w:t>
      </w:r>
    </w:p>
    <w:p>
      <w:pPr>
        <w:spacing w:after="120"/>
        <w:ind w:firstLine="397"/>
        <w:jc w:val="both"/>
      </w:pPr>
      <w:r>
        <w:rPr>
          <w:rFonts w:ascii="Arial" w:cs="Arial" w:eastAsia="Arial" w:hAnsi="Arial"/>
          <w:sz w:val="24"/>
          <w:szCs w:val="24"/>
        </w:rPr>
        <w:t xml:space="preserve">В случае если сторонами будет согласовано, что выполнение оператором обмена виртуальных активов своей обязанности передать клиенту денежные средства, электронные деньги или виртуальные активы производится только после выполнения клиентом своей обязанности передать оператору обмена виртуальных активов денежные средства, электронные деньги или виртуальные активы (в зависимости от вида совершенной сделки с виртуальными активами), оператор обмена виртуальных активов обязан обеспечить возможность идентификации назначения полученных им от клиента денежных средств, электронных денег или виртуальных активов клиента (то есть возможность однозначного определения заявки, в рамках которой клиент передал оператору обмена виртуальных активов данные денежные средства, электронные деньги или виртуальные активы).</w:t>
      </w:r>
    </w:p>
    <w:p>
      <w:pPr>
        <w:spacing w:after="120"/>
        <w:ind w:firstLine="397"/>
        <w:jc w:val="both"/>
      </w:pPr>
      <w:r>
        <w:rPr>
          <w:rFonts w:ascii="Arial" w:cs="Arial" w:eastAsia="Arial" w:hAnsi="Arial"/>
          <w:sz w:val="24"/>
          <w:szCs w:val="24"/>
        </w:rPr>
        <w:t xml:space="preserve">27. На территории Кыргызской Республики запрещается совершение сделок с виртуальными активами, не прошедшими государственную регистрацию выпуска виртуальных активов в уполномоченном государственном органе, за исключением включенных в листинг у оператора торгов виртуальных активов (криптобиржи) иностранных виртуальных активов, выпущенных и обращающихся у иностранных операторов торгов виртуальных активов (криптобирж).</w:t>
      </w:r>
    </w:p>
    <w:p>
      <w:pPr>
        <w:spacing w:after="120"/>
        <w:ind w:firstLine="397"/>
        <w:jc w:val="both"/>
      </w:pPr>
      <w:r>
        <w:rPr>
          <w:rFonts w:ascii="Arial" w:cs="Arial" w:eastAsia="Arial" w:hAnsi="Arial"/>
          <w:sz w:val="24"/>
          <w:szCs w:val="24"/>
        </w:rPr>
        <w:t xml:space="preserve">Физическим и юридическим лицам - резидентам Кыргызской Республики, запрещается проведение операций с виртуальными активами через нелицензированных операторов обмена виртуальных активов.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Нормативные показатели достаточности</w:t>
      </w:r>
    </w:p>
    <w:p>
      <w:pPr>
        <w:spacing w:after="240" w:before="200"/>
        <w:jc w:val="center"/>
      </w:pPr>
      <w:r>
        <w:rPr>
          <w:rFonts w:ascii="Arial" w:cs="Arial" w:eastAsia="Arial" w:hAnsi="Arial"/>
          <w:b/>
          <w:bCs/>
          <w:sz w:val="32"/>
          <w:szCs w:val="32"/>
        </w:rPr>
        <w:t xml:space="preserve">собственных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Минимальный размер уставного капитала операторов обмена виртуальных активов Кыргызской Республики должен быть не менее 400000 расчетных показателей, установленных законодательством Кыргызской Республики в виде денежных средств на дату подачи заявления.</w:t>
      </w:r>
    </w:p>
    <w:p>
      <w:pPr>
        <w:spacing w:after="120"/>
        <w:ind w:firstLine="397"/>
        <w:jc w:val="both"/>
      </w:pPr>
      <w:r>
        <w:rPr>
          <w:rFonts w:ascii="Arial" w:cs="Arial" w:eastAsia="Arial" w:hAnsi="Arial"/>
          <w:sz w:val="24"/>
          <w:szCs w:val="24"/>
        </w:rPr>
        <w:t xml:space="preserve">Использование для формирования уставного капитала оператора обмена виртуальных активов средств, полученных в кредит, под залог, и других привлеченных средств не допускается.</w:t>
      </w:r>
    </w:p>
    <w:p>
      <w:pPr>
        <w:spacing w:after="120"/>
        <w:ind w:firstLine="397"/>
        <w:jc w:val="both"/>
      </w:pPr>
      <w:r>
        <w:rPr>
          <w:rFonts w:ascii="Arial" w:cs="Arial" w:eastAsia="Arial" w:hAnsi="Arial"/>
          <w:sz w:val="24"/>
          <w:szCs w:val="24"/>
        </w:rPr>
        <w:t xml:space="preserve">29. Собственные средства операторов обмена виртуальных активов должны быть не менее минимального размера уставного капитала, установленного вышеуказанным пунктом настоящего Положения.</w:t>
      </w:r>
    </w:p>
    <w:p>
      <w:pPr>
        <w:spacing w:after="120"/>
        <w:ind w:firstLine="397"/>
        <w:jc w:val="both"/>
      </w:pPr>
      <w:r>
        <w:rPr>
          <w:rFonts w:ascii="Arial" w:cs="Arial" w:eastAsia="Arial" w:hAnsi="Arial"/>
          <w:sz w:val="24"/>
          <w:szCs w:val="24"/>
        </w:rPr>
        <w:t xml:space="preserve">30. При осуществлении на условиях совмещения нескольких видов поставщиков услуг виртуальных активов минимальный размер уставного капитала определяется в соответствии с требованиями, предъявляемыми к тому из видов деятельности, в отношении которого установлен наибольший минимальный размер уставного капитала.</w:t>
      </w:r>
    </w:p>
    <w:p>
      <w:pPr>
        <w:spacing w:after="120"/>
        <w:ind w:firstLine="397"/>
        <w:jc w:val="both"/>
      </w:pPr>
      <w:r>
        <w:rPr>
          <w:rFonts w:ascii="Arial" w:cs="Arial" w:eastAsia="Arial" w:hAnsi="Arial"/>
          <w:sz w:val="24"/>
          <w:szCs w:val="24"/>
        </w:rPr>
        <w:t xml:space="preserve">7. Документы, представляемые для получения лицензии на право осуществления деятельности оператора обмена виртуальных активов</w:t>
      </w:r>
    </w:p>
    <w:p>
      <w:pPr>
        <w:spacing w:after="120"/>
        <w:ind w:firstLine="397"/>
        <w:jc w:val="both"/>
      </w:pPr>
      <w:r>
        <w:rPr>
          <w:rFonts w:ascii="Arial" w:cs="Arial" w:eastAsia="Arial" w:hAnsi="Arial"/>
          <w:sz w:val="24"/>
          <w:szCs w:val="24"/>
        </w:rPr>
        <w:t xml:space="preserve">31. Для получения лицензии на ведение деятельности в качестве поставщика услуг виртуальных активов, осуществляемой оператором обмена виртуальных активов, юридическое лицо представляет в уполномоченный орган следующие документы/сведения в одном экземпляре на государственном или официальном языке:</w:t>
      </w:r>
    </w:p>
    <w:p>
      <w:pPr>
        <w:spacing w:after="120"/>
        <w:ind w:firstLine="397"/>
        <w:jc w:val="both"/>
      </w:pPr>
      <w:r>
        <w:rPr>
          <w:rFonts w:ascii="Arial" w:cs="Arial" w:eastAsia="Arial" w:hAnsi="Arial"/>
          <w:sz w:val="24"/>
          <w:szCs w:val="24"/>
        </w:rPr>
        <w:t xml:space="preserve">1) заявление о выдаче лицензии с указанием наименования и организационно-правовой формы юридического лица, его местонахождения (почтового адреса), адреса электронной почты, наименования учреждения банка и номера депозитного и/или расчетного счета в учреждении банка;</w:t>
      </w:r>
    </w:p>
    <w:p>
      <w:pPr>
        <w:spacing w:after="120"/>
        <w:ind w:firstLine="397"/>
        <w:jc w:val="both"/>
      </w:pPr>
      <w:r>
        <w:rPr>
          <w:rFonts w:ascii="Arial" w:cs="Arial" w:eastAsia="Arial" w:hAnsi="Arial"/>
          <w:sz w:val="24"/>
          <w:szCs w:val="24"/>
        </w:rPr>
        <w:t xml:space="preserve">2) копии учредительных документов юридического лица, заверенные нотариально (устава и учредительного договора (при наличии более одного учредителя); решений о создании юридического лица, о размере уставного капитала, об избрании совета директоров (при наличии) и исполнительных органов управления);</w:t>
      </w:r>
    </w:p>
    <w:p>
      <w:pPr>
        <w:spacing w:after="120"/>
        <w:ind w:firstLine="397"/>
        <w:jc w:val="both"/>
      </w:pPr>
      <w:r>
        <w:rPr>
          <w:rFonts w:ascii="Arial" w:cs="Arial" w:eastAsia="Arial" w:hAnsi="Arial"/>
          <w:sz w:val="24"/>
          <w:szCs w:val="24"/>
        </w:rPr>
        <w:t xml:space="preserve">3) документы/сведения по участникам/акционерам/учредителям - физическим лицам и бенефициарным владельцам юридического лица (схематическое изображение структуры собственности юридического лица, которое позволяет установить конечных бенефициарных владельцев юридического лица; информация о владельцах пяти и более процентов акций/долей в капитале, капитале юридического лица, содержащая идентификационные данные таких лиц, количество и процент акций/долей, которыми обладает каждый такой участник/акционер/учредитель;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законодательством Кыргызской Республики в области налогообложения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w:t>
      </w:r>
    </w:p>
    <w:p>
      <w:pPr>
        <w:spacing w:after="120"/>
        <w:ind w:firstLine="397"/>
        <w:jc w:val="both"/>
      </w:pPr>
      <w:r>
        <w:rPr>
          <w:rFonts w:ascii="Arial" w:cs="Arial" w:eastAsia="Arial" w:hAnsi="Arial"/>
          <w:sz w:val="24"/>
          <w:szCs w:val="24"/>
        </w:rPr>
        <w:t xml:space="preserve">4) документы должностных лиц юридического лица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законодательством Кыргызской Республики в области налогообложения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 актуальную биографию с указанием образования, полученных дипломов, соответствующих курсов профессиональной подготовки, которые он/она прошел/прошла, профессионального опыта, включая, в частности, названия всех организаций, в которых он/она работал/работала, характер и продолжительность занимаемых должностей, деловой репутации);</w:t>
      </w:r>
    </w:p>
    <w:p>
      <w:pPr>
        <w:spacing w:after="120"/>
        <w:ind w:firstLine="397"/>
        <w:jc w:val="both"/>
      </w:pPr>
      <w:r>
        <w:rPr>
          <w:rFonts w:ascii="Arial" w:cs="Arial" w:eastAsia="Arial" w:hAnsi="Arial"/>
          <w:sz w:val="24"/>
          <w:szCs w:val="24"/>
        </w:rPr>
        <w:t xml:space="preserve">5) заполненные и подписанные участниками/акционерами/учредителями, должностными лицами и бенефициарными владельцами юридического лица анкеты по форме согласно приложениям </w:t>
      </w:r>
      <w:hyperlink w:history="1" r:id="rIdzqu7genqimpqomjmxcar8">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zjdyqx-lccvdhegvjifxk">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 либо сканированные копии заполненных анкет с последующим предоставлением оригинала;</w:t>
      </w:r>
    </w:p>
    <w:p>
      <w:pPr>
        <w:spacing w:after="120"/>
        <w:ind w:firstLine="397"/>
        <w:jc w:val="both"/>
      </w:pPr>
      <w:r>
        <w:rPr>
          <w:rFonts w:ascii="Arial" w:cs="Arial" w:eastAsia="Arial" w:hAnsi="Arial"/>
          <w:sz w:val="24"/>
          <w:szCs w:val="24"/>
        </w:rPr>
        <w:t xml:space="preserve">6) копии внутренних документов/политик/процедур юридического лица, связанных с корпоративным управлением и менеджментом (документы должны быть прошиты, пронумерованы, заверены печатью и подписью руководителя юридического лица), описывающие политику внутреннего управления; политику внутреннего контроля; организационную/функциональную схему; политику управления рисками; общую матрицу рисков; реестр внутренних политик/процедур; порядок действий при возникновении нештатных ситуаций; руководство и материалы по обучению; порядок движения денежных средств, проходящих через агентов; 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 причастных к террористической и экстремистской деятельности или распространению оружия массового уничтожения; правила оператора обмена виртуальных активов;</w:t>
      </w:r>
    </w:p>
    <w:p>
      <w:pPr>
        <w:spacing w:after="120"/>
        <w:ind w:firstLine="397"/>
        <w:jc w:val="both"/>
      </w:pPr>
      <w:r>
        <w:rPr>
          <w:rFonts w:ascii="Arial" w:cs="Arial" w:eastAsia="Arial" w:hAnsi="Arial"/>
          <w:sz w:val="24"/>
          <w:szCs w:val="24"/>
        </w:rPr>
        <w:t xml:space="preserve">7) программу/план операционных действий;</w:t>
      </w:r>
    </w:p>
    <w:p>
      <w:pPr>
        <w:spacing w:after="120"/>
        <w:ind w:firstLine="397"/>
        <w:jc w:val="both"/>
      </w:pPr>
      <w:r>
        <w:rPr>
          <w:rFonts w:ascii="Arial" w:cs="Arial" w:eastAsia="Arial" w:hAnsi="Arial"/>
          <w:sz w:val="24"/>
          <w:szCs w:val="24"/>
        </w:rPr>
        <w:t xml:space="preserve">8) бизнес-план (технико-экономическое обоснование), содержащий как минимум определение целей при оказании услуг, связанных с виртуальными активами, прогнозные расчеты экономических результатов, ожидаемых от оказания данных услуг, как минимум на 3 (три) года;</w:t>
      </w:r>
    </w:p>
    <w:p>
      <w:pPr>
        <w:spacing w:after="120"/>
        <w:ind w:firstLine="397"/>
        <w:jc w:val="both"/>
      </w:pPr>
      <w:r>
        <w:rPr>
          <w:rFonts w:ascii="Arial" w:cs="Arial" w:eastAsia="Arial" w:hAnsi="Arial"/>
          <w:sz w:val="24"/>
          <w:szCs w:val="24"/>
        </w:rPr>
        <w:t xml:space="preserve">9) блок-схему для каждой услуги, предоставляемой юридическим лицом (схема, визуализирующая последовательность шагов/процессов, которые происходят при предоставлении конкретной услуги клиентам/пользователям);</w:t>
      </w:r>
    </w:p>
    <w:p>
      <w:pPr>
        <w:spacing w:after="120"/>
        <w:ind w:firstLine="397"/>
        <w:jc w:val="both"/>
      </w:pPr>
      <w:r>
        <w:rPr>
          <w:rFonts w:ascii="Arial" w:cs="Arial" w:eastAsia="Arial" w:hAnsi="Arial"/>
          <w:sz w:val="24"/>
          <w:szCs w:val="24"/>
        </w:rPr>
        <w:t xml:space="preserve">10) политику и план обеспечения непрерывности деятельности;</w:t>
      </w:r>
    </w:p>
    <w:p>
      <w:pPr>
        <w:spacing w:after="120"/>
        <w:ind w:firstLine="397"/>
        <w:jc w:val="both"/>
      </w:pPr>
      <w:r>
        <w:rPr>
          <w:rFonts w:ascii="Arial" w:cs="Arial" w:eastAsia="Arial" w:hAnsi="Arial"/>
          <w:sz w:val="24"/>
          <w:szCs w:val="24"/>
        </w:rPr>
        <w:t xml:space="preserve">11) копию договора на открытие расчетного счета в банке для хранения и использования денежных средств от клиентов и от своих агентов за оказание услуг, связанных с виртуальными активами, а также отдельного счета для хозяйственной деятельности юридического лица;</w:t>
      </w:r>
    </w:p>
    <w:p>
      <w:pPr>
        <w:spacing w:after="120"/>
        <w:ind w:firstLine="397"/>
        <w:jc w:val="both"/>
      </w:pPr>
      <w:r>
        <w:rPr>
          <w:rFonts w:ascii="Arial" w:cs="Arial" w:eastAsia="Arial" w:hAnsi="Arial"/>
          <w:sz w:val="24"/>
          <w:szCs w:val="24"/>
        </w:rPr>
        <w:t xml:space="preserve">12) документ, подтверждающий внесение денежных средств в качестве уставного капитала согласно настоящему Положению;</w:t>
      </w:r>
    </w:p>
    <w:p>
      <w:pPr>
        <w:spacing w:after="120"/>
        <w:ind w:firstLine="397"/>
        <w:jc w:val="both"/>
      </w:pPr>
      <w:r>
        <w:rPr>
          <w:rFonts w:ascii="Arial" w:cs="Arial" w:eastAsia="Arial" w:hAnsi="Arial"/>
          <w:sz w:val="24"/>
          <w:szCs w:val="24"/>
        </w:rPr>
        <w:t xml:space="preserve">13) финансовую отчетность на последнюю отчетную дату, переданную в налоговые органы, заверенную печатью и подписью руководителя юридического лица);</w:t>
      </w:r>
    </w:p>
    <w:p>
      <w:pPr>
        <w:spacing w:after="120"/>
        <w:ind w:firstLine="397"/>
        <w:jc w:val="both"/>
      </w:pPr>
      <w:r>
        <w:rPr>
          <w:rFonts w:ascii="Arial" w:cs="Arial" w:eastAsia="Arial" w:hAnsi="Arial"/>
          <w:sz w:val="24"/>
          <w:szCs w:val="24"/>
        </w:rPr>
        <w:t xml:space="preserve">14) сведения/документы о ресурсах юридического лица (описание кадровых и технических ресурсов, выделенных на запланированную деятельность; кадровый и технический прогноз по каждому виду деятельности; акт установки и введения в промышленную эксплуатацию платформы, размещенной на серверах, один из которых (основной сервер) должен находиться на территории Кыргызской Республики, а другой (запасной сервер) в целях защиты программного обеспечения и защиты от кибератак - на территории иностранного государства);</w:t>
      </w:r>
    </w:p>
    <w:p>
      <w:pPr>
        <w:spacing w:after="120"/>
        <w:ind w:firstLine="397"/>
        <w:jc w:val="both"/>
      </w:pPr>
      <w:r>
        <w:rPr>
          <w:rFonts w:ascii="Arial" w:cs="Arial" w:eastAsia="Arial" w:hAnsi="Arial"/>
          <w:sz w:val="24"/>
          <w:szCs w:val="24"/>
        </w:rPr>
        <w:t xml:space="preserve">15) документы/сведения по системе противодействия финансированию преступной деятельности и легализации (отмыванию) преступных доходов юридического лица (руководство по противодействию финансированию преступной деятельности и легализации (отмыванию) преступных доходов; процедуры должной осмотрительности, идентификации и верификации клиентов; политика принятия клиентов в рамках противодействия финансированию преступной деятельности и легализации (отмыванию) преступных доходов; процедуры мониторинга клиентов и транзакций в рамках противодействия финансированию преступной деятельности и легализации (отмыванию) преступных доходов; руководство по обучению в области противодействия финансированию преступной деятельности и легализации (отмыванию) преступных доходов; соглашения с поставщиками услуг в области противодействия финансированию преступной деятельности и легализации (отмыванию) преступных доходов; матрица рисков финансирования преступной деятельности и легализации (отмыванию) преступных доходов; функциональные возможности инструментов для оценки рисков, связанных с финансированием преступной деятельности и легализацией (отмыванием) преступных доходов; сценарии противодействия финансированию преступной деятельности и легализации (отмыванию) преступных доходов, реализованные в инструментах; объем предупреждений о противодействии финансированию преступной деятельности и легализации (отмыванию) преступных доходов и количество клиентов, классифицированных по уровню рисков);</w:t>
      </w:r>
    </w:p>
    <w:p>
      <w:pPr>
        <w:spacing w:after="120"/>
        <w:ind w:firstLine="397"/>
        <w:jc w:val="both"/>
      </w:pPr>
      <w:r>
        <w:rPr>
          <w:rFonts w:ascii="Arial" w:cs="Arial" w:eastAsia="Arial" w:hAnsi="Arial"/>
          <w:sz w:val="24"/>
          <w:szCs w:val="24"/>
        </w:rPr>
        <w:t xml:space="preserve">16) документы по кибербезопасности и политике информационных технологий юридического лица (процедуры, регламентирующие порядок обеспечения информационной безопасности (кибербезопасности), - описание организации безопасности; политика обработки данных (внутренняя и внешняя); политика кибербезопасности; процедуры оценки и регистрации киберрисков; процедуры управления ключами криптокошельков; порядок обработки персональных данных клиентов);</w:t>
      </w:r>
    </w:p>
    <w:p>
      <w:pPr>
        <w:spacing w:after="120"/>
        <w:ind w:firstLine="397"/>
        <w:jc w:val="both"/>
      </w:pPr>
      <w:r>
        <w:rPr>
          <w:rFonts w:ascii="Arial" w:cs="Arial" w:eastAsia="Arial" w:hAnsi="Arial"/>
          <w:sz w:val="24"/>
          <w:szCs w:val="24"/>
        </w:rPr>
        <w:t xml:space="preserve">17) сведения/документы по документации клиентов юридического лица (общие положения и условия; порядок проведения претензионной работы; политика защиты прав клиентов/инвесторов; ценовая политика для клиентов; порядок возврата денежных средств клиентам);</w:t>
      </w:r>
    </w:p>
    <w:p>
      <w:pPr>
        <w:spacing w:after="120"/>
        <w:ind w:firstLine="397"/>
        <w:jc w:val="both"/>
      </w:pPr>
      <w:r>
        <w:rPr>
          <w:rFonts w:ascii="Arial" w:cs="Arial" w:eastAsia="Arial" w:hAnsi="Arial"/>
          <w:sz w:val="24"/>
          <w:szCs w:val="24"/>
        </w:rPr>
        <w:t xml:space="preserve">18) доверенность за подписью руководителя или иного уполномоченного лица в соответствии с учредительными документами с оттиском печати, выданная представителю на получение лицензии в случае, если от имени юридического лица действует представитель по доверенности;</w:t>
      </w:r>
    </w:p>
    <w:p>
      <w:pPr>
        <w:spacing w:after="120"/>
        <w:ind w:firstLine="397"/>
        <w:jc w:val="both"/>
      </w:pPr>
      <w:r>
        <w:rPr>
          <w:rFonts w:ascii="Arial" w:cs="Arial" w:eastAsia="Arial" w:hAnsi="Arial"/>
          <w:sz w:val="24"/>
          <w:szCs w:val="24"/>
        </w:rPr>
        <w:t xml:space="preserve">19) данные о деловой репутации юридического лица;</w:t>
      </w:r>
    </w:p>
    <w:p>
      <w:pPr>
        <w:spacing w:after="120"/>
        <w:ind w:firstLine="397"/>
        <w:jc w:val="both"/>
      </w:pPr>
      <w:r>
        <w:rPr>
          <w:rFonts w:ascii="Arial" w:cs="Arial" w:eastAsia="Arial" w:hAnsi="Arial"/>
          <w:sz w:val="24"/>
          <w:szCs w:val="24"/>
        </w:rPr>
        <w:t xml:space="preserve">20) документ, подтверждающий оплату государственной пошлины за лицензию;</w:t>
      </w:r>
    </w:p>
    <w:p>
      <w:pPr>
        <w:spacing w:after="120"/>
        <w:ind w:firstLine="397"/>
        <w:jc w:val="both"/>
      </w:pPr>
      <w:r>
        <w:rPr>
          <w:rFonts w:ascii="Arial" w:cs="Arial" w:eastAsia="Arial" w:hAnsi="Arial"/>
          <w:sz w:val="24"/>
          <w:szCs w:val="24"/>
        </w:rPr>
        <w:t xml:space="preserve">21) копию заключенного договора с поставщиком AML/KYT-услуг, определенным уполномоченным органом.</w:t>
      </w:r>
    </w:p>
    <w:p>
      <w:pPr>
        <w:spacing w:after="120"/>
        <w:ind w:firstLine="397"/>
        <w:jc w:val="both"/>
      </w:pPr>
      <w:r>
        <w:rPr>
          <w:rFonts w:ascii="Arial" w:cs="Arial" w:eastAsia="Arial" w:hAnsi="Arial"/>
          <w:sz w:val="24"/>
          <w:szCs w:val="24"/>
        </w:rPr>
        <w:t xml:space="preserve">Все документы должны быть подписаны руководителем, а в случае предоставления в виде электронного документа подтверждаются цифровой подписью.</w:t>
      </w:r>
    </w:p>
    <w:p>
      <w:pPr>
        <w:spacing w:after="120"/>
        <w:ind w:firstLine="397"/>
        <w:jc w:val="both"/>
      </w:pPr>
      <w:r>
        <w:rPr>
          <w:rFonts w:ascii="Arial" w:cs="Arial" w:eastAsia="Arial" w:hAnsi="Arial"/>
          <w:sz w:val="24"/>
          <w:szCs w:val="24"/>
        </w:rPr>
        <w:t xml:space="preserve">Операторы обмена виртуальных активов несут ответственность, установленную законодательством Кыргызской Республики в области административного права, за достоверность сведений, представленных в уполномоченный орган для получения лицензии, а также за своевременность уведомления уполномоченного органа об изменениях в сведениях.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8. Реестр операторов обмена виртуальных активов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Реестр операторов обмена виртуальных активов ведется уполномоченным органом и является электронной базой данных, в которую вносится информация, необходимая для выполнения функций регулирования и надзора за деятельностью операторов обмена виртуальных активов уполномоченным органом.</w:t>
      </w:r>
    </w:p>
    <w:p>
      <w:pPr>
        <w:spacing w:after="120"/>
        <w:ind w:firstLine="397"/>
        <w:jc w:val="both"/>
      </w:pPr>
      <w:r>
        <w:rPr>
          <w:rFonts w:ascii="Arial" w:cs="Arial" w:eastAsia="Arial" w:hAnsi="Arial"/>
          <w:sz w:val="24"/>
          <w:szCs w:val="24"/>
        </w:rPr>
        <w:t xml:space="preserve">33. Реестр операторов обмена виртуальных активов подлежит обязательному размещению на официальном сайте уполномоченного органа, является открытым и доступным для ознакомления заинтересованных лиц со сведениями, содержащимися в нем, за исключением сведений ограниченного доступа в соответствии с </w:t>
      </w:r>
      <w:hyperlink w:history="1" r:id="rIdy2tay4e8xzf9yn3jke_c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ind w:firstLine="397"/>
        <w:jc w:val="both"/>
      </w:pPr>
      <w:r>
        <w:rPr>
          <w:rFonts w:ascii="Arial" w:cs="Arial" w:eastAsia="Arial" w:hAnsi="Arial"/>
          <w:sz w:val="24"/>
          <w:szCs w:val="24"/>
        </w:rPr>
        <w:t xml:space="preserve">34. Реестр операторов обмена виртуальных активов должен содержать следующие основные сведения:</w:t>
      </w:r>
    </w:p>
    <w:p>
      <w:pPr>
        <w:spacing w:after="120"/>
        <w:ind w:firstLine="397"/>
        <w:jc w:val="both"/>
      </w:pPr>
      <w:r>
        <w:rPr>
          <w:rFonts w:ascii="Arial" w:cs="Arial" w:eastAsia="Arial" w:hAnsi="Arial"/>
          <w:sz w:val="24"/>
          <w:szCs w:val="24"/>
        </w:rPr>
        <w:t xml:space="preserve">наименование юридического лица - лицензиата, его организационно-правовая форма, местонахождение (почтовый адрес), адрес электронной почты, телефон, идентификационный номер налогоплательщика, сведения об органах его управления, контактные данные, данные веб-сайта;</w:t>
      </w:r>
    </w:p>
    <w:p>
      <w:pPr>
        <w:spacing w:after="120"/>
        <w:ind w:firstLine="397"/>
        <w:jc w:val="both"/>
      </w:pPr>
      <w:r>
        <w:rPr>
          <w:rFonts w:ascii="Arial" w:cs="Arial" w:eastAsia="Arial" w:hAnsi="Arial"/>
          <w:sz w:val="24"/>
          <w:szCs w:val="24"/>
        </w:rPr>
        <w:t xml:space="preserve">информация о долях учредителей в уставном капитале;</w:t>
      </w:r>
    </w:p>
    <w:p>
      <w:pPr>
        <w:spacing w:after="120"/>
        <w:ind w:firstLine="397"/>
        <w:jc w:val="both"/>
      </w:pPr>
      <w:r>
        <w:rPr>
          <w:rFonts w:ascii="Arial" w:cs="Arial" w:eastAsia="Arial" w:hAnsi="Arial"/>
          <w:sz w:val="24"/>
          <w:szCs w:val="24"/>
        </w:rPr>
        <w:t xml:space="preserve">дата выдачи и номер лицензии;</w:t>
      </w:r>
    </w:p>
    <w:p>
      <w:pPr>
        <w:spacing w:after="120"/>
        <w:ind w:firstLine="397"/>
        <w:jc w:val="both"/>
      </w:pPr>
      <w:r>
        <w:rPr>
          <w:rFonts w:ascii="Arial" w:cs="Arial" w:eastAsia="Arial" w:hAnsi="Arial"/>
          <w:sz w:val="24"/>
          <w:szCs w:val="24"/>
        </w:rPr>
        <w:t xml:space="preserve">серия и номер бланка лицензии;</w:t>
      </w:r>
    </w:p>
    <w:p>
      <w:pPr>
        <w:spacing w:after="120"/>
        <w:ind w:firstLine="397"/>
        <w:jc w:val="both"/>
      </w:pPr>
      <w:r>
        <w:rPr>
          <w:rFonts w:ascii="Arial" w:cs="Arial" w:eastAsia="Arial" w:hAnsi="Arial"/>
          <w:sz w:val="24"/>
          <w:szCs w:val="24"/>
        </w:rPr>
        <w:t xml:space="preserve">основания и даты переоформления, приостановления и возобновления действия лицензий;</w:t>
      </w:r>
    </w:p>
    <w:p>
      <w:pPr>
        <w:spacing w:after="120"/>
        <w:ind w:firstLine="397"/>
        <w:jc w:val="both"/>
      </w:pPr>
      <w:r>
        <w:rPr>
          <w:rFonts w:ascii="Arial" w:cs="Arial" w:eastAsia="Arial" w:hAnsi="Arial"/>
          <w:sz w:val="24"/>
          <w:szCs w:val="24"/>
        </w:rPr>
        <w:t xml:space="preserve">основания и даты прекращения действия лицензий;</w:t>
      </w:r>
    </w:p>
    <w:p>
      <w:pPr>
        <w:spacing w:after="120"/>
        <w:ind w:firstLine="397"/>
        <w:jc w:val="both"/>
      </w:pPr>
      <w:r>
        <w:rPr>
          <w:rFonts w:ascii="Arial" w:cs="Arial" w:eastAsia="Arial" w:hAnsi="Arial"/>
          <w:sz w:val="24"/>
          <w:szCs w:val="24"/>
        </w:rPr>
        <w:t xml:space="preserve">основания и даты аннулирования лицензий;</w:t>
      </w:r>
    </w:p>
    <w:p>
      <w:pPr>
        <w:spacing w:after="120"/>
        <w:ind w:firstLine="397"/>
        <w:jc w:val="both"/>
      </w:pPr>
      <w:r>
        <w:rPr>
          <w:rFonts w:ascii="Arial" w:cs="Arial" w:eastAsia="Arial" w:hAnsi="Arial"/>
          <w:sz w:val="24"/>
          <w:szCs w:val="24"/>
        </w:rPr>
        <w:t xml:space="preserve">основание и дата выдачи дубликата.</w:t>
      </w:r>
    </w:p>
    <w:p>
      <w:pPr>
        <w:spacing w:after="120"/>
        <w:ind w:firstLine="397"/>
        <w:jc w:val="both"/>
      </w:pPr>
      <w:r>
        <w:rPr>
          <w:rFonts w:ascii="Arial" w:cs="Arial" w:eastAsia="Arial" w:hAnsi="Arial"/>
          <w:sz w:val="24"/>
          <w:szCs w:val="24"/>
        </w:rPr>
        <w:t xml:space="preserve">35. Информация, содержащаяся в реестре лицензий, размещается на веб-сайте уполномоченного органа, и является открытой для ознакомления.</w:t>
      </w:r>
    </w:p>
    <w:p>
      <w:pPr>
        <w:spacing w:after="120"/>
        <w:ind w:firstLine="397"/>
        <w:jc w:val="both"/>
      </w:pPr>
      <w:r>
        <w:rPr>
          <w:rFonts w:ascii="Arial" w:cs="Arial" w:eastAsia="Arial" w:hAnsi="Arial"/>
          <w:sz w:val="24"/>
          <w:szCs w:val="24"/>
        </w:rPr>
        <w:t xml:space="preserve">35</w:t>
      </w:r>
      <w:r>
        <w:rPr>
          <w:rFonts w:ascii="Arial" w:cs="Arial" w:eastAsia="Arial" w:hAnsi="Arial"/>
          <w:sz w:val="24"/>
          <w:szCs w:val="24"/>
        </w:rPr>
        <w:t xml:space="preserve">1</w:t>
      </w:r>
      <w:r>
        <w:rPr>
          <w:rFonts w:ascii="Arial" w:cs="Arial" w:eastAsia="Arial" w:hAnsi="Arial"/>
          <w:sz w:val="24"/>
          <w:szCs w:val="24"/>
        </w:rPr>
        <w:t xml:space="preserve">. Операторы обмена виртуальных активов обязаны уведомлять уполномоченный орган об изменениях данных, указанных в документах, прилагаемых к заявлению на выдачу лицензии, не являющихся основанием для перерегистрации лицензии. Уведомление предоставляется в письменной форме не позднее 10 (десять)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орган вносит соответствующие изменения в Реестр операторов обмена виртуальных активов в течение 3 (три) рабочих дней с даты поступления уведомления.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 Учет и отчетность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Оператор обмена виртуальных активов обязан ежемесячно представлять в уполномоченный орган оперативную отчетность. Форма отчетности утверждается приказом уполномоченного органа.</w:t>
      </w:r>
    </w:p>
    <w:p>
      <w:pPr>
        <w:spacing w:after="120"/>
        <w:ind w:firstLine="397"/>
        <w:jc w:val="both"/>
      </w:pPr>
      <w:r>
        <w:rPr>
          <w:rFonts w:ascii="Arial" w:cs="Arial" w:eastAsia="Arial" w:hAnsi="Arial"/>
          <w:sz w:val="24"/>
          <w:szCs w:val="24"/>
        </w:rPr>
        <w:t xml:space="preserve">37. Оператор обмена виртуальных активов обязан ежеквартально не позднее 10 рабочих дней после даты окончания отчетного периода представлять в уполномоченный орган финансовую отчетность, составленную в соответствии с МСФО:</w:t>
      </w:r>
    </w:p>
    <w:p>
      <w:pPr>
        <w:spacing w:after="120"/>
        <w:ind w:firstLine="397"/>
        <w:jc w:val="both"/>
      </w:pPr>
      <w:r>
        <w:rPr>
          <w:rFonts w:ascii="Arial" w:cs="Arial" w:eastAsia="Arial" w:hAnsi="Arial"/>
          <w:sz w:val="24"/>
          <w:szCs w:val="24"/>
        </w:rPr>
        <w:t xml:space="preserve">Полный комплект финансовой отчетности включает:</w:t>
      </w:r>
    </w:p>
    <w:p>
      <w:pPr>
        <w:spacing w:after="120"/>
        <w:ind w:firstLine="397"/>
        <w:jc w:val="both"/>
      </w:pPr>
      <w:r>
        <w:rPr>
          <w:rFonts w:ascii="Arial" w:cs="Arial" w:eastAsia="Arial" w:hAnsi="Arial"/>
          <w:sz w:val="24"/>
          <w:szCs w:val="24"/>
        </w:rPr>
        <w:t xml:space="preserve">(a) отчет о финансовом положении на дату окончания периода;</w:t>
      </w:r>
    </w:p>
    <w:p>
      <w:pPr>
        <w:spacing w:after="120"/>
        <w:ind w:firstLine="397"/>
        <w:jc w:val="both"/>
      </w:pPr>
      <w:r>
        <w:rPr>
          <w:rFonts w:ascii="Arial" w:cs="Arial" w:eastAsia="Arial" w:hAnsi="Arial"/>
          <w:sz w:val="24"/>
          <w:szCs w:val="24"/>
        </w:rPr>
        <w:t xml:space="preserve">(b) отчет о прибылях, убытках и прочих компонентах совокупного финансового результата за период;</w:t>
      </w:r>
    </w:p>
    <w:p>
      <w:pPr>
        <w:spacing w:after="120"/>
        <w:ind w:firstLine="397"/>
        <w:jc w:val="both"/>
      </w:pPr>
      <w:r>
        <w:rPr>
          <w:rFonts w:ascii="Arial" w:cs="Arial" w:eastAsia="Arial" w:hAnsi="Arial"/>
          <w:sz w:val="24"/>
          <w:szCs w:val="24"/>
        </w:rPr>
        <w:t xml:space="preserve">(c) отчет об изменениях в собственном капитале за период;</w:t>
      </w:r>
    </w:p>
    <w:p>
      <w:pPr>
        <w:spacing w:after="120"/>
        <w:ind w:firstLine="397"/>
        <w:jc w:val="both"/>
      </w:pPr>
      <w:r>
        <w:rPr>
          <w:rFonts w:ascii="Arial" w:cs="Arial" w:eastAsia="Arial" w:hAnsi="Arial"/>
          <w:sz w:val="24"/>
          <w:szCs w:val="24"/>
        </w:rPr>
        <w:t xml:space="preserve">(d) отчет о денежных потоках за период;</w:t>
      </w:r>
    </w:p>
    <w:p>
      <w:pPr>
        <w:spacing w:after="120"/>
        <w:ind w:firstLine="397"/>
        <w:jc w:val="both"/>
      </w:pPr>
      <w:r>
        <w:rPr>
          <w:rFonts w:ascii="Arial" w:cs="Arial" w:eastAsia="Arial" w:hAnsi="Arial"/>
          <w:sz w:val="24"/>
          <w:szCs w:val="24"/>
        </w:rPr>
        <w:t xml:space="preserve">(e) примечания, состоящие из основных положений учетной политики и прочей пояснительной информации.</w:t>
      </w:r>
    </w:p>
    <w:p>
      <w:pPr>
        <w:spacing w:after="120"/>
        <w:ind w:firstLine="397"/>
        <w:jc w:val="both"/>
      </w:pPr>
      <w:r>
        <w:rPr>
          <w:rFonts w:ascii="Arial" w:cs="Arial" w:eastAsia="Arial" w:hAnsi="Arial"/>
          <w:sz w:val="24"/>
          <w:szCs w:val="24"/>
        </w:rPr>
        <w:t xml:space="preserve">38. Деятельность оператора обмена виртуальных активов подлежит ежегодной внешней аудиторской проверке согласно законодательству Кыргызской Республики в области аудиторской деятельности и международным стандартам аудита.</w:t>
      </w:r>
    </w:p>
    <w:p>
      <w:pPr>
        <w:spacing w:after="120"/>
        <w:ind w:firstLine="397"/>
        <w:jc w:val="both"/>
      </w:pPr>
      <w:r>
        <w:rPr>
          <w:rFonts w:ascii="Arial" w:cs="Arial" w:eastAsia="Arial" w:hAnsi="Arial"/>
          <w:sz w:val="24"/>
          <w:szCs w:val="24"/>
        </w:rPr>
        <w:t xml:space="preserve">Внешним аудитором оператора обмена виртуальных активов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w:t>
      </w:r>
    </w:p>
    <w:p>
      <w:pPr>
        <w:spacing w:after="120"/>
        <w:ind w:firstLine="397"/>
        <w:jc w:val="both"/>
      </w:pPr>
      <w:r>
        <w:rPr>
          <w:rFonts w:ascii="Arial" w:cs="Arial" w:eastAsia="Arial" w:hAnsi="Arial"/>
          <w:sz w:val="24"/>
          <w:szCs w:val="24"/>
        </w:rPr>
        <w:t xml:space="preserve">По завершении финансового года оператор обмена виртуальных активов обязан:</w:t>
      </w:r>
    </w:p>
    <w:p>
      <w:pPr>
        <w:spacing w:after="120"/>
        <w:ind w:firstLine="397"/>
        <w:jc w:val="both"/>
      </w:pPr>
      <w:r>
        <w:rPr>
          <w:rFonts w:ascii="Arial" w:cs="Arial" w:eastAsia="Arial" w:hAnsi="Arial"/>
          <w:sz w:val="24"/>
          <w:szCs w:val="24"/>
        </w:rPr>
        <w:t xml:space="preserve">- обеспечить проведение внешнего аудита оператора обмена виртуальных активов в срок не позднее девяноста дней с начала нового финансового года;</w:t>
      </w:r>
    </w:p>
    <w:p>
      <w:pPr>
        <w:spacing w:after="120"/>
        <w:ind w:firstLine="397"/>
        <w:jc w:val="both"/>
      </w:pPr>
      <w:r>
        <w:rPr>
          <w:rFonts w:ascii="Arial" w:cs="Arial" w:eastAsia="Arial" w:hAnsi="Arial"/>
          <w:sz w:val="24"/>
          <w:szCs w:val="24"/>
        </w:rPr>
        <w:t xml:space="preserve">- представить уполномоченному органу заверенную копию аудиторского заключения вместе с финансовой отчетностью и письмом аудитора к руководству оператора обмена виртуальных активов в срок не позднее ста пяти дней с начала нового финансового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5323"/>
        <w:gridCol w:w="2365"/>
        <w:gridCol w:w="1893"/>
      </w:tblGrid>
      <w:tr>
        <w:tc>
          <w:tcPr>
            <w:tcW w:type="dxa" w:w="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(предыдущая фамилия)</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причине:</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42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5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___________</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w:t>
            </w:r>
          </w:p>
        </w:tc>
        <w:tc>
          <w:tcPr>
            <w:tcW w:type="dxa" w:w="42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место </w:t>
            </w:r>
          </w:p>
          <w:p>
            <w:pPr>
              <w:jc w:val="left"/>
            </w:pPr>
            <w:r>
              <w:rPr>
                <w:rFonts w:ascii="Arial" w:cs="Arial" w:eastAsia="Arial" w:hAnsi="Arial"/>
                <w:sz w:val="24"/>
                <w:szCs w:val="24"/>
              </w:rPr>
              <w:t xml:space="preserve">проживания:</w:t>
            </w:r>
          </w:p>
          <w:p>
            <w:pPr>
              <w:jc w:val="left"/>
            </w:pPr>
            <w:r>
              <w:rPr>
                <w:rFonts w:ascii="Arial" w:cs="Arial" w:eastAsia="Arial" w:hAnsi="Arial"/>
                <w:sz w:val="24"/>
                <w:szCs w:val="24"/>
              </w:rPr>
              <w:t xml:space="preserve">моб. тел.: (__________)</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42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r>
      <w:tr>
        <w:tc>
          <w:tcPr>
            <w:tcW w:type="dxa" w:w="5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581"/>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Юридический адрес ____________________________</w:t>
            </w:r>
          </w:p>
          <w:p>
            <w:pPr>
              <w:jc w:val="both"/>
            </w:pPr>
            <w:r>
              <w:rPr>
                <w:rFonts w:ascii="Arial" w:cs="Arial" w:eastAsia="Arial" w:hAnsi="Arial"/>
                <w:sz w:val="24"/>
                <w:szCs w:val="24"/>
              </w:rPr>
              <w:t xml:space="preserve">3. Дата создания ________________________________</w:t>
            </w:r>
          </w:p>
          <w:p>
            <w:pPr>
              <w:jc w:val="both"/>
            </w:pPr>
            <w:r>
              <w:rPr>
                <w:rFonts w:ascii="Arial" w:cs="Arial" w:eastAsia="Arial" w:hAnsi="Arial"/>
                <w:sz w:val="24"/>
                <w:szCs w:val="24"/>
              </w:rPr>
              <w:t xml:space="preserve">4. ИНН _________________________________________</w:t>
            </w:r>
          </w:p>
          <w:p>
            <w:pPr>
              <w:jc w:val="both"/>
            </w:pPr>
            <w:r>
              <w:rPr>
                <w:rFonts w:ascii="Arial" w:cs="Arial" w:eastAsia="Arial" w:hAnsi="Arial"/>
                <w:sz w:val="24"/>
                <w:szCs w:val="24"/>
              </w:rPr>
              <w:t xml:space="preserve">5. Дата регистрации в уполномоченном органе по регистрации юридических лиц</w:t>
            </w:r>
          </w:p>
          <w:p>
            <w:pPr>
              <w:jc w:val="both"/>
            </w:pPr>
            <w:r>
              <w:rPr>
                <w:rFonts w:ascii="Arial" w:cs="Arial" w:eastAsia="Arial" w:hAnsi="Arial"/>
                <w:sz w:val="24"/>
                <w:szCs w:val="24"/>
              </w:rPr>
              <w:t xml:space="preserve">________________________________________________</w:t>
            </w:r>
          </w:p>
          <w:p>
            <w:pPr>
              <w:jc w:val="both"/>
            </w:pPr>
            <w:r>
              <w:rPr>
                <w:rFonts w:ascii="Arial" w:cs="Arial" w:eastAsia="Arial" w:hAnsi="Arial"/>
                <w:sz w:val="24"/>
                <w:szCs w:val="24"/>
              </w:rPr>
              <w:t xml:space="preserve"> (№ свидетельства о государственной регистрации/перерегистрации)</w:t>
            </w:r>
          </w:p>
          <w:p>
            <w:pPr>
              <w:jc w:val="both"/>
            </w:pPr>
            <w:r>
              <w:rPr>
                <w:rFonts w:ascii="Arial" w:cs="Arial" w:eastAsia="Arial" w:hAnsi="Arial"/>
                <w:sz w:val="24"/>
                <w:szCs w:val="24"/>
              </w:rPr>
              <w:t xml:space="preserve">6. Наименование и расположение банков, в которых открыты расчетные и иные счета:</w:t>
            </w:r>
          </w:p>
          <w:p>
            <w:pPr>
              <w:jc w:val="both"/>
            </w:pPr>
            <w:r>
              <w:rPr>
                <w:rFonts w:ascii="Arial" w:cs="Arial" w:eastAsia="Arial" w:hAnsi="Arial"/>
                <w:sz w:val="24"/>
                <w:szCs w:val="24"/>
              </w:rPr>
              <w:t xml:space="preserve">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Данная анкета заполняется физическим лицом в части, в которой она применима к нему.</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Анкета</w:t>
      </w:r>
    </w:p>
    <w:p>
      <w:pPr>
        <w:spacing w:after="240" w:before="200"/>
        <w:jc w:val="center"/>
      </w:pPr>
      <w:r>
        <w:rPr>
          <w:rFonts w:ascii="Arial" w:cs="Arial" w:eastAsia="Arial" w:hAnsi="Arial"/>
          <w:b/>
          <w:bCs/>
          <w:sz w:val="32"/>
          <w:szCs w:val="32"/>
        </w:rPr>
        <w:t xml:space="preserve">акционера (учредителя)/участника, бенефициарного владельца и</w:t>
      </w:r>
    </w:p>
    <w:p>
      <w:pPr>
        <w:spacing w:after="240" w:before="200"/>
        <w:jc w:val="center"/>
      </w:pPr>
      <w:r>
        <w:rPr>
          <w:rFonts w:ascii="Arial" w:cs="Arial" w:eastAsia="Arial" w:hAnsi="Arial"/>
          <w:b/>
          <w:bCs/>
          <w:sz w:val="32"/>
          <w:szCs w:val="32"/>
        </w:rPr>
        <w:t xml:space="preserve">должностного лица оператора обмена виртуальных активов</w:t>
      </w:r>
    </w:p>
    <w:p>
      <w:pPr>
        <w:spacing w:after="240" w:before="200"/>
        <w:jc w:val="center"/>
      </w:pPr>
      <w:r>
        <w:rPr>
          <w:rFonts w:ascii="Arial" w:cs="Arial" w:eastAsia="Arial" w:hAnsi="Arial"/>
          <w:b/>
          <w:bCs/>
          <w:sz w:val="32"/>
          <w:szCs w:val="32"/>
        </w:rPr>
        <w:t xml:space="preserve">(заполняется физическим лицом)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
        <w:gridCol w:w="3178"/>
        <w:gridCol w:w="3178"/>
        <w:gridCol w:w="3178"/>
      </w:tblGrid>
      <w:tr>
        <w:tc>
          <w:tcPr>
            <w:tcW w:type="dxa" w:w="6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3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(предыдущая фамилия)</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w:t>
            </w:r>
          </w:p>
          <w:p>
            <w:pPr>
              <w:jc w:val="left"/>
            </w:pPr>
            <w:r>
              <w:rPr>
                <w:rFonts w:ascii="Arial" w:cs="Arial" w:eastAsia="Arial" w:hAnsi="Arial"/>
                <w:sz w:val="24"/>
                <w:szCs w:val="24"/>
              </w:rPr>
              <w:t xml:space="preserve">причине:</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63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r>
      <w:tr>
        <w:tc>
          <w:tcPr>
            <w:tcW w:type="dxa" w:w="6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9534"/>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Фактическое место проживания:</w:t>
            </w:r>
          </w:p>
          <w:p>
            <w:pPr>
              <w:jc w:val="left"/>
            </w:pPr>
            <w:r>
              <w:rPr>
                <w:rFonts w:ascii="Arial" w:cs="Arial" w:eastAsia="Arial" w:hAnsi="Arial"/>
                <w:sz w:val="24"/>
                <w:szCs w:val="24"/>
              </w:rPr>
              <w:t xml:space="preserve">моб. тел.:</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63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w:t>
            </w:r>
          </w:p>
          <w:p>
            <w:pPr>
              <w:jc w:val="left"/>
            </w:pPr>
            <w:r>
              <w:rPr>
                <w:rFonts w:ascii="Arial" w:cs="Arial" w:eastAsia="Arial" w:hAnsi="Arial"/>
                <w:sz w:val="24"/>
                <w:szCs w:val="24"/>
              </w:rPr>
              <w:t xml:space="preserve">должность:</w:t>
            </w:r>
          </w:p>
        </w:tc>
      </w:tr>
      <w:tr>
        <w:tc>
          <w:tcPr>
            <w:tcW w:type="dxa" w:w="6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534"/>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Наименование и расположение банков, в которых открыты </w:t>
            </w:r>
          </w:p>
          <w:p>
            <w:pPr>
              <w:jc w:val="both"/>
            </w:pPr>
            <w:r>
              <w:rPr>
                <w:rFonts w:ascii="Arial" w:cs="Arial" w:eastAsia="Arial" w:hAnsi="Arial"/>
                <w:sz w:val="24"/>
                <w:szCs w:val="24"/>
              </w:rPr>
              <w:t xml:space="preserve">расчетные и иные счета: _____________________________________</w:t>
            </w:r>
          </w:p>
          <w:p>
            <w:pPr>
              <w:jc w:val="both"/>
            </w:pPr>
            <w:r>
              <w:rPr>
                <w:rFonts w:ascii="Arial" w:cs="Arial" w:eastAsia="Arial" w:hAnsi="Arial"/>
                <w:sz w:val="24"/>
                <w:szCs w:val="24"/>
              </w:rPr>
              <w:t xml:space="preserve">9. ПИН: _________________________________________________</w:t>
            </w:r>
          </w:p>
          <w:p>
            <w:pPr>
              <w:jc w:val="both"/>
            </w:pPr>
            <w:r>
              <w:rPr>
                <w:rFonts w:ascii="Arial" w:cs="Arial" w:eastAsia="Arial" w:hAnsi="Arial"/>
                <w:sz w:val="24"/>
                <w:szCs w:val="24"/>
              </w:rPr>
              <w:t xml:space="preserve">10. Укажите, были ли в отношении вас выдвинуты обвинения в совершении преступления (финансового/экономического и уголовного) в течение последних 3 лет, в том числе в случаях прекращения дела или снятия обвинения (да/нет) ________________________________</w:t>
            </w:r>
          </w:p>
          <w:p>
            <w:pPr>
              <w:jc w:val="both"/>
            </w:pPr>
            <w:r>
              <w:rPr>
                <w:rFonts w:ascii="Arial" w:cs="Arial" w:eastAsia="Arial" w:hAnsi="Arial"/>
                <w:sz w:val="24"/>
                <w:szCs w:val="24"/>
              </w:rPr>
              <w:t xml:space="preserve">11. При наличии неисполненного судебного решения по уплате своих финансовых обязательств перечислите их:</w:t>
            </w:r>
          </w:p>
          <w:p>
            <w:pPr>
              <w:jc w:val="both"/>
            </w:pPr>
            <w:r>
              <w:rPr>
                <w:rFonts w:ascii="Arial" w:cs="Arial" w:eastAsia="Arial" w:hAnsi="Arial"/>
                <w:sz w:val="24"/>
                <w:szCs w:val="24"/>
              </w:rPr>
              <w:t xml:space="preserve">_______________________________________________________________________</w:t>
            </w:r>
          </w:p>
          <w:p>
            <w:pPr>
              <w:jc w:val="both"/>
            </w:pPr>
            <w:r>
              <w:rPr>
                <w:rFonts w:ascii="Arial" w:cs="Arial" w:eastAsia="Arial" w:hAnsi="Arial"/>
                <w:sz w:val="24"/>
                <w:szCs w:val="24"/>
              </w:rPr>
              <w:t xml:space="preserve">12. Я, _______________________________________________________________</w:t>
            </w:r>
          </w:p>
          <w:p>
            <w:pPr>
              <w:jc w:val="center"/>
            </w:pPr>
            <w:r>
              <w:rPr>
                <w:rFonts w:ascii="Arial" w:cs="Arial" w:eastAsia="Arial" w:hAnsi="Arial"/>
                <w:sz w:val="24"/>
                <w:szCs w:val="24"/>
              </w:rPr>
              <w:t xml:space="preserve">(фамилия, имя, отчество)</w:t>
            </w:r>
          </w:p>
          <w:p>
            <w:pPr>
              <w:jc w:val="both"/>
            </w:pPr>
            <w:r>
              <w:rPr>
                <w:rFonts w:ascii="Arial" w:cs="Arial" w:eastAsia="Arial" w:hAnsi="Arial"/>
                <w:sz w:val="24"/>
                <w:szCs w:val="24"/>
              </w:rPr>
              <w:t xml:space="preserve">подтверждаю, что представленная выше информация в анкете является достоверной и полной и предоставлена в соответствии с моими знаниями и информацией по указанным</w:t>
            </w:r>
          </w:p>
          <w:p>
            <w:pPr>
              <w:jc w:val="both"/>
            </w:pPr>
            <w:r>
              <w:rPr>
                <w:rFonts w:ascii="Arial" w:cs="Arial" w:eastAsia="Arial" w:hAnsi="Arial"/>
                <w:sz w:val="24"/>
                <w:szCs w:val="24"/>
              </w:rPr>
              <w:t xml:space="preserve">в анкете вопросам.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 подпись "____" _______________________ г.</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необходимо подписать каждую страницу анкеты;</w:t>
            </w:r>
          </w:p>
          <w:p>
            <w:pPr>
              <w:jc w:val="both"/>
            </w:pPr>
            <w:r>
              <w:rPr>
                <w:rFonts w:ascii="Arial" w:cs="Arial" w:eastAsia="Arial" w:hAnsi="Arial"/>
                <w:sz w:val="24"/>
                <w:szCs w:val="24"/>
              </w:rPr>
              <w:t xml:space="preserve">- исправления в анкете заверяются словами "исправленному верить" и собственноручной подписью.</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otme0jywkizfgam1de66z">
        <w:r>
          <w:rPr>
            <w:rFonts w:ascii="Arial" w:cs="Arial" w:eastAsia="Arial" w:hAnsi="Arial"/>
            <w:color w:val="1D4ED8"/>
            <w:sz w:val="24"/>
            <w:szCs w:val="24"/>
            <w:u w:val="single"/>
          </w:rPr>
          <w:t xml:space="preserve">Приложение 4</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ccvpyj0nzg_zqlgkx7td" Type="http://schemas.openxmlformats.org/officeDocument/2006/relationships/hyperlink" Target="http://kodeks.duckdns.org/document/112346#st_10" TargetMode="External"/><Relationship Id="rIdgf0w7_28p1smwrq51kesp" Type="http://schemas.openxmlformats.org/officeDocument/2006/relationships/hyperlink" Target="http://kodeks.duckdns.org/document/112346#st_16" TargetMode="External"/><Relationship Id="rIdaopbpf7qrea-fy4stxv81" Type="http://schemas.openxmlformats.org/officeDocument/2006/relationships/hyperlink" Target="http://kodeks.duckdns.org/document/112346#st_18" TargetMode="External"/><Relationship Id="rId00pzxox1nler8fujrndjr" Type="http://schemas.openxmlformats.org/officeDocument/2006/relationships/hyperlink" Target="http://kodeks.duckdns.org/document/112346#st_25" TargetMode="External"/><Relationship Id="rIdxgvtxw56cqirbofyw9swz" Type="http://schemas.openxmlformats.org/officeDocument/2006/relationships/hyperlink" Target="http://kodeks.duckdns.org/document/112346#st_27" TargetMode="External"/><Relationship Id="rIdgefujlaqybqixdinwo_lb" Type="http://schemas.openxmlformats.org/officeDocument/2006/relationships/hyperlink" Target="http://kodeks.duckdns.org/document/112346#st_28" TargetMode="External"/><Relationship Id="rIdiwm3boxwwyfjkwqfigd7y" Type="http://schemas.openxmlformats.org/officeDocument/2006/relationships/hyperlink" Target="http://kodeks.duckdns.org/document/112301#st_13" TargetMode="External"/><Relationship Id="rId6zq2hx1htg97p6ts3vhdd" Type="http://schemas.openxmlformats.org/officeDocument/2006/relationships/hyperlink" Target="http://kodeks.duckdns.org/document/112301#st_17" TargetMode="External"/><Relationship Id="rIdr0xnru0tpycawcxxk7khv" Type="http://schemas.openxmlformats.org/officeDocument/2006/relationships/hyperlink" Target="http://kodeks.duckdns.org/document/158757" TargetMode="External"/><Relationship Id="rId-69xx7lvatgvcfr7umdqn" Type="http://schemas.openxmlformats.org/officeDocument/2006/relationships/hyperlink" Target="http://kodeks.duckdns.org/document/158758" TargetMode="External"/><Relationship Id="rIdvu8ertwx0h0towvbrlo-c" Type="http://schemas.openxmlformats.org/officeDocument/2006/relationships/hyperlink" Target="http://kodeks.duckdns.org/document/158757" TargetMode="External"/><Relationship Id="rIdmfpb3mi_tdimkow8436th" Type="http://schemas.openxmlformats.org/officeDocument/2006/relationships/hyperlink" Target="http://kodeks.duckdns.org/document/158758#p3" TargetMode="External"/><Relationship Id="rIdz65gv0hreyi0uwbydoplj" Type="http://schemas.openxmlformats.org/officeDocument/2006/relationships/hyperlink" Target="http://kodeks.duckdns.org/document/158758#p14" TargetMode="External"/><Relationship Id="rIduc3izdj7z4q077mrn8xg1" Type="http://schemas.openxmlformats.org/officeDocument/2006/relationships/hyperlink" Target="http://kodeks.duckdns.org/document/158758#p20" TargetMode="External"/><Relationship Id="rIdjcsl9z6xfta8jfz43zpc0" Type="http://schemas.openxmlformats.org/officeDocument/2006/relationships/hyperlink" Target="http://kodeks.duckdns.org/document/159461" TargetMode="External"/><Relationship Id="rId47dpxcgkk-kbagsmxjdf_" Type="http://schemas.openxmlformats.org/officeDocument/2006/relationships/hyperlink" Target="http://kodeks.duckdns.org/document/159530" TargetMode="External"/><Relationship Id="rIdeaeiz2zkgyi1khe-bywi3" Type="http://schemas.openxmlformats.org/officeDocument/2006/relationships/hyperlink" Target="http://kodeks.duckdns.org/document/159461" TargetMode="External"/><Relationship Id="rIdsffdbdk1jbq4tppetldco" Type="http://schemas.openxmlformats.org/officeDocument/2006/relationships/hyperlink" Target="http://kodeks.duckdns.org/document/159530#p2" TargetMode="External"/><Relationship Id="rIdmpdrjmc8xomctakje_frx" Type="http://schemas.openxmlformats.org/officeDocument/2006/relationships/hyperlink" Target="http://kodeks.duckdns.org/document/159530#p5" TargetMode="External"/><Relationship Id="rIdgyaaufsmc9e7x8cn8zmn7" Type="http://schemas.openxmlformats.org/officeDocument/2006/relationships/hyperlink" Target="http://kodeks.duckdns.org/document/159530#p11" TargetMode="External"/><Relationship Id="rIdycxrc8fw4dsp6tz_g25jp" Type="http://schemas.openxmlformats.org/officeDocument/2006/relationships/hyperlink" Target="http://kodeks.duckdns.org/document/159530#p18" TargetMode="External"/><Relationship Id="rIdkg7dusoax3m8ykhivnfil" Type="http://schemas.openxmlformats.org/officeDocument/2006/relationships/hyperlink" Target="http://kodeks.duckdns.org/document/159530#p18_1" TargetMode="External"/><Relationship Id="rIdzw8jhvxt25e3lebz4bv_f" Type="http://schemas.openxmlformats.org/officeDocument/2006/relationships/hyperlink" Target="http://kodeks.duckdns.org/document/159530#p23" TargetMode="External"/><Relationship Id="rIdl8rneloqnstrsh5-zuhig" Type="http://schemas.openxmlformats.org/officeDocument/2006/relationships/hyperlink" Target="http://kodeks.duckdns.org/document/159530#p25_1" TargetMode="External"/><Relationship Id="rIdhhqau4mew2-pw4paxqix8" Type="http://schemas.openxmlformats.org/officeDocument/2006/relationships/hyperlink" Target="http://kodeks.duckdns.org/document/112346" TargetMode="External"/><Relationship Id="rIdchpejs1kyn6kjl3cj9k_h" Type="http://schemas.openxmlformats.org/officeDocument/2006/relationships/hyperlink" Target="http://kodeks.duckdns.org/document/159530#p29" TargetMode="External"/><Relationship Id="rIdsfbg_voucj_1p45rjuc3u" Type="http://schemas.openxmlformats.org/officeDocument/2006/relationships/hyperlink" Target="http://kodeks.duckdns.org/document/159530#p30" TargetMode="External"/><Relationship Id="rIdtyjpbcost3vjo_pnhs3fb" Type="http://schemas.openxmlformats.org/officeDocument/2006/relationships/hyperlink" Target="http://kodeks.duckdns.org/document/159530#p30_1" TargetMode="External"/><Relationship Id="rIddeks669rfsnbbe2hm5_gb" Type="http://schemas.openxmlformats.org/officeDocument/2006/relationships/hyperlink" Target="http://kodeks.duckdns.org/document/159530#pr2" TargetMode="External"/><Relationship Id="rIdr7q_j1ztixdhvmoo0qsmz" Type="http://schemas.openxmlformats.org/officeDocument/2006/relationships/hyperlink" Target="http://kodeks.duckdns.org/document/159530#p35" TargetMode="External"/><Relationship Id="rIdtfdruvrci6otgfeu8ng-j" Type="http://schemas.openxmlformats.org/officeDocument/2006/relationships/hyperlink" Target="http://kodeks.duckdns.org/document/159530#g8" TargetMode="External"/><Relationship Id="rIdoof73hv7cyz2nve1-mjur" Type="http://schemas.openxmlformats.org/officeDocument/2006/relationships/hyperlink" Target="http://kodeks.duckdns.org/document/159530#p39_1" TargetMode="External"/><Relationship Id="rIdp2gboh58rq6n60avdz2z6" Type="http://schemas.openxmlformats.org/officeDocument/2006/relationships/hyperlink" Target="http://kodeks.duckdns.org/document/159530#p51" TargetMode="External"/><Relationship Id="rIdvfjozqph-eydqpzbwfazr" Type="http://schemas.openxmlformats.org/officeDocument/2006/relationships/hyperlink" Target="http://kodeks.duckdns.org/document/159530#pr1" TargetMode="External"/><Relationship Id="rIdk7gr9owfjyyo-yekv8nob" Type="http://schemas.openxmlformats.org/officeDocument/2006/relationships/hyperlink" Target="http://kodeks.duckdns.org/document/159530#pr2" TargetMode="External"/><Relationship Id="rIdjhdckg7k_rsnhjdvsmzkd" Type="http://schemas.openxmlformats.org/officeDocument/2006/relationships/hyperlink" Target="http://kodeks.duckdns.org/document/159530#pr3" TargetMode="External"/><Relationship Id="rIdokbafi-zghehokomie3iv" Type="http://schemas.openxmlformats.org/officeDocument/2006/relationships/hyperlink" Target="http://kodeks.duckdns.org/document/159530#g16" TargetMode="External"/><Relationship Id="rIdoegcxgbksshwcvpfdrjuh" Type="http://schemas.openxmlformats.org/officeDocument/2006/relationships/hyperlink" Target="http://kodeks.duckdns.org/document/159530#p90" TargetMode="External"/><Relationship Id="rId7wmoodngiq5xr4b8lxikq" Type="http://schemas.openxmlformats.org/officeDocument/2006/relationships/hyperlink" Target="http://kodeks.duckdns.org/document/159530#p90_1" TargetMode="External"/><Relationship Id="rId-h3nmquxrfx44plkhutvc" Type="http://schemas.openxmlformats.org/officeDocument/2006/relationships/hyperlink" Target="http://kodeks.duckdns.org/document/159530#pr2" TargetMode="External"/><Relationship Id="rIds08f-3u5tobikiiayshbs" Type="http://schemas.openxmlformats.org/officeDocument/2006/relationships/hyperlink" Target="http://kodeks.duckdns.org/document/159530" TargetMode="External"/><Relationship Id="rIdghdqlea-dh6moefgec0pu" Type="http://schemas.openxmlformats.org/officeDocument/2006/relationships/hyperlink" Target="http://kodeks.duckdns.org/document/159530#pr3" TargetMode="External"/><Relationship Id="rId3ng5pm_v5nwdd7u8xesju" Type="http://schemas.openxmlformats.org/officeDocument/2006/relationships/hyperlink" Target="http://kodeks.duckdns.org/document/159530" TargetMode="External"/><Relationship Id="rIdorvypc0qxki3jywldhjwj" Type="http://schemas.openxmlformats.org/officeDocument/2006/relationships/hyperlink" Target="http://kodeks.duckdns.org/document/159530" TargetMode="External"/><Relationship Id="rIdgre02xx98lxm1gfgdaqay" Type="http://schemas.openxmlformats.org/officeDocument/2006/relationships/hyperlink" Target="http://kodeks.duckdns.org/document/159531" TargetMode="External"/><Relationship Id="rId-ffrho3x61lvzf3bdaqz6" Type="http://schemas.openxmlformats.org/officeDocument/2006/relationships/hyperlink" Target="http://kodeks.duckdns.org/document/159461" TargetMode="External"/><Relationship Id="rIdzl8yato2mlkqkwpvofubk" Type="http://schemas.openxmlformats.org/officeDocument/2006/relationships/hyperlink" Target="http://kodeks.duckdns.org/document/159531#p1" TargetMode="External"/><Relationship Id="rIdie8o4gaukmjfhglhdctjc" Type="http://schemas.openxmlformats.org/officeDocument/2006/relationships/hyperlink" Target="http://kodeks.duckdns.org/document/159531#p2" TargetMode="External"/><Relationship Id="rIdnmoyv-7qdtg7i7kvjhp2r" Type="http://schemas.openxmlformats.org/officeDocument/2006/relationships/hyperlink" Target="http://kodeks.duckdns.org/document/159531#g1" TargetMode="External"/><Relationship Id="rId9bxmkpjkq56tjwgqiuq_g" Type="http://schemas.openxmlformats.org/officeDocument/2006/relationships/hyperlink" Target="http://kodeks.duckdns.org/document/159531#p3_1" TargetMode="External"/><Relationship Id="rIdjgvl41bzy60tdjg4lqurl" Type="http://schemas.openxmlformats.org/officeDocument/2006/relationships/hyperlink" Target="http://kodeks.duckdns.org/document/159531#p3_11" TargetMode="External"/><Relationship Id="rIdenqxro52kvv-h9kf4cibb" Type="http://schemas.openxmlformats.org/officeDocument/2006/relationships/hyperlink" Target="http://kodeks.duckdns.org/document/159531#p4" TargetMode="External"/><Relationship Id="rIdryal51bwoiddnwcbjwqfn" Type="http://schemas.openxmlformats.org/officeDocument/2006/relationships/hyperlink" Target="http://kodeks.duckdns.org/document/159531#p5" TargetMode="External"/><Relationship Id="rId1mxng3t5rfn055k9fkn9e" Type="http://schemas.openxmlformats.org/officeDocument/2006/relationships/hyperlink" Target="http://kodeks.duckdns.org/document/159531#pr1" TargetMode="External"/><Relationship Id="rIds_wkghmm6tzkqlld0dcak" Type="http://schemas.openxmlformats.org/officeDocument/2006/relationships/hyperlink" Target="http://kodeks.duckdns.org/document/159531#g3" TargetMode="External"/><Relationship Id="rIduywa_ii45cicmsnvz3cfe" Type="http://schemas.openxmlformats.org/officeDocument/2006/relationships/hyperlink" Target="http://kodeks.duckdns.org/document/159531#g4" TargetMode="External"/><Relationship Id="rIdvehnc27lh4fyodnvjak_4" Type="http://schemas.openxmlformats.org/officeDocument/2006/relationships/hyperlink" Target="http://kodeks.duckdns.org/document/159531#g7" TargetMode="External"/><Relationship Id="rIdlr0iux9hhwdaahhr59fpt" Type="http://schemas.openxmlformats.org/officeDocument/2006/relationships/hyperlink" Target="http://kodeks.duckdns.org/document/159531#p13" TargetMode="External"/><Relationship Id="rIdxd2jupsrweq90k_ao-pzz" Type="http://schemas.openxmlformats.org/officeDocument/2006/relationships/hyperlink" Target="http://kodeks.duckdns.org/document/159531#p15" TargetMode="External"/><Relationship Id="rIdvf27tj-klme9meof4dmo3" Type="http://schemas.openxmlformats.org/officeDocument/2006/relationships/hyperlink" Target="http://kodeks.duckdns.org/document/159531#p19" TargetMode="External"/><Relationship Id="rIdyfdih1cpimyqnq0s_1ysc" Type="http://schemas.openxmlformats.org/officeDocument/2006/relationships/hyperlink" Target="http://kodeks.duckdns.org/document/159531#p28" TargetMode="External"/><Relationship Id="rIdprjsvgfo0b_yowwjeb3iu" Type="http://schemas.openxmlformats.org/officeDocument/2006/relationships/hyperlink" Target="http://kodeks.duckdns.org/document/159531#p8" TargetMode="External"/><Relationship Id="rId4e-0_idnr0funqygtpncn" Type="http://schemas.openxmlformats.org/officeDocument/2006/relationships/hyperlink" Target="http://kodeks.duckdns.org/document/159531#p9" TargetMode="External"/><Relationship Id="rIdbxexhls_pirav4fymyani" Type="http://schemas.openxmlformats.org/officeDocument/2006/relationships/hyperlink" Target="http://kodeks.duckdns.org/document/159531#p11" TargetMode="External"/><Relationship Id="rIdeonao2ge23wnq2qfgshj4" Type="http://schemas.openxmlformats.org/officeDocument/2006/relationships/hyperlink" Target="http://kodeks.duckdns.org/document/159531#pr3" TargetMode="External"/><Relationship Id="rIdahcwcxrrkee9fmvz37m2q" Type="http://schemas.openxmlformats.org/officeDocument/2006/relationships/hyperlink" Target="http://kodeks.duckdns.org/document/159531#pr4" TargetMode="External"/><Relationship Id="rIdys8fv9bgru2v5osgwhqp5" Type="http://schemas.openxmlformats.org/officeDocument/2006/relationships/hyperlink" Target="http://kodeks.duckdns.org/document/159531#pr5" TargetMode="External"/><Relationship Id="rIdcw-bzb4tsgfmjnj1w1gqg" Type="http://schemas.openxmlformats.org/officeDocument/2006/relationships/hyperlink" Target="http://kodeks.duckdns.org/document/159531#p17" TargetMode="External"/><Relationship Id="rIdlfqubw4tmij7c7fjxbkui" Type="http://schemas.openxmlformats.org/officeDocument/2006/relationships/hyperlink" Target="http://kodeks.duckdns.org/document/159531#p20" TargetMode="External"/><Relationship Id="rIdnisjc6eieefwz6d5ygzi-" Type="http://schemas.openxmlformats.org/officeDocument/2006/relationships/hyperlink" Target="http://kodeks.duckdns.org/document/159531#p26" TargetMode="External"/><Relationship Id="rIdjafyfzx9j7kuqcmh0vlbr" Type="http://schemas.openxmlformats.org/officeDocument/2006/relationships/hyperlink" Target="http://kodeks.duckdns.org/document/159531#p27" TargetMode="External"/><Relationship Id="rIdo6qwlt0oginscae4eefkq" Type="http://schemas.openxmlformats.org/officeDocument/2006/relationships/hyperlink" Target="http://kodeks.duckdns.org/document/159531#p31" TargetMode="External"/><Relationship Id="rIdcikojryajw2c8omjhvxf9" Type="http://schemas.openxmlformats.org/officeDocument/2006/relationships/hyperlink" Target="http://kodeks.duckdns.org/document/159531#pr4" TargetMode="External"/><Relationship Id="rIdq0unr2adq10cqgucw6ucn" Type="http://schemas.openxmlformats.org/officeDocument/2006/relationships/hyperlink" Target="http://kodeks.duckdns.org/document/159531#pr6" TargetMode="External"/><Relationship Id="rIda82tr8c1yol_64orctenl" Type="http://schemas.openxmlformats.org/officeDocument/2006/relationships/hyperlink" Target="http://kodeks.duckdns.org/document/159531#p32" TargetMode="External"/><Relationship Id="rId5tgvpulx6zeigbgk-ylve" Type="http://schemas.openxmlformats.org/officeDocument/2006/relationships/hyperlink" Target="http://kodeks.duckdns.org/document/159531#pr1" TargetMode="External"/><Relationship Id="rId_sqiv6th0wzt3_pipltep" Type="http://schemas.openxmlformats.org/officeDocument/2006/relationships/hyperlink" Target="http://kodeks.duckdns.org/document/159531#pr2" TargetMode="External"/><Relationship Id="rIdrwvjlu9h0h0dgjbmhhttf" Type="http://schemas.openxmlformats.org/officeDocument/2006/relationships/hyperlink" Target="http://kodeks.duckdns.org/document/159531#pr3" TargetMode="External"/><Relationship Id="rIduuohxplsyxsw6aabx1wh8" Type="http://schemas.openxmlformats.org/officeDocument/2006/relationships/hyperlink" Target="http://kodeks.duckdns.org/document/159531#pr6" TargetMode="External"/><Relationship Id="rId2vqdmyg-p8rskvv9x9r5n" Type="http://schemas.openxmlformats.org/officeDocument/2006/relationships/hyperlink" Target="http://kodeks.duckdns.org/document/159532#pr" TargetMode="External"/><Relationship Id="rIde6fhwgajphhiegux7a6nn" Type="http://schemas.openxmlformats.org/officeDocument/2006/relationships/hyperlink" Target="http://kodeks.duckdns.org/document/159461" TargetMode="External"/><Relationship Id="rIdiji9386c6-wm14fuqyeej" Type="http://schemas.openxmlformats.org/officeDocument/2006/relationships/hyperlink" Target="http://kodeks.duckdns.org/document/230034589" TargetMode="External"/><Relationship Id="rIdxntakgt9t--timaramhxa" Type="http://schemas.openxmlformats.org/officeDocument/2006/relationships/hyperlink" Target="http://kodeks.duckdns.org/document/159533" TargetMode="External"/><Relationship Id="rIdrnpdtl5uom8hj7lx8kdr6" Type="http://schemas.openxmlformats.org/officeDocument/2006/relationships/hyperlink" Target="http://kodeks.duckdns.org/document/159461" TargetMode="External"/><Relationship Id="rIdy2laujiq_rlphmbknbcv2" Type="http://schemas.openxmlformats.org/officeDocument/2006/relationships/hyperlink" Target="http://kodeks.duckdns.org/document/159533#p2" TargetMode="External"/><Relationship Id="rIdw91azcat0qsshfivhwnah" Type="http://schemas.openxmlformats.org/officeDocument/2006/relationships/hyperlink" Target="http://kodeks.duckdns.org/document/159533#g1" TargetMode="External"/><Relationship Id="rIdmnum7fatkiasbts4cfx1v" Type="http://schemas.openxmlformats.org/officeDocument/2006/relationships/hyperlink" Target="http://kodeks.duckdns.org/document/159533#p3_1" TargetMode="External"/><Relationship Id="rId9zx6ftct_wm3idqkmhbjl" Type="http://schemas.openxmlformats.org/officeDocument/2006/relationships/hyperlink" Target="http://kodeks.duckdns.org/document/159533#g4" TargetMode="External"/><Relationship Id="rIdxvtrwpr7ppsd7orjpxojv" Type="http://schemas.openxmlformats.org/officeDocument/2006/relationships/hyperlink" Target="http://kodeks.duckdns.org/document/159533#p11_1" TargetMode="External"/><Relationship Id="rIdcu-aavpltgwqomti49mae" Type="http://schemas.openxmlformats.org/officeDocument/2006/relationships/hyperlink" Target="http://kodeks.duckdns.org/document/159533#g6" TargetMode="External"/><Relationship Id="rIdu8f7egvzzpsth-xx9tgy5" Type="http://schemas.openxmlformats.org/officeDocument/2006/relationships/hyperlink" Target="http://kodeks.duckdns.org/document/159533#p21_1" TargetMode="External"/><Relationship Id="rIdch1joisrj4ykmx3znk7dc" Type="http://schemas.openxmlformats.org/officeDocument/2006/relationships/hyperlink" Target="http://kodeks.duckdns.org/document/159533#g9" TargetMode="External"/><Relationship Id="rId32yfnn7k8j8dpba-tltym" Type="http://schemas.openxmlformats.org/officeDocument/2006/relationships/hyperlink" Target="http://kodeks.duckdns.org/document/159533#g12" TargetMode="External"/><Relationship Id="rIdida3ulnoqaaezt5a4yvje" Type="http://schemas.openxmlformats.org/officeDocument/2006/relationships/hyperlink" Target="http://kodeks.duckdns.org/document/159533#g9" TargetMode="External"/><Relationship Id="rIdr-_wxbw65a0qocqdxynml" Type="http://schemas.openxmlformats.org/officeDocument/2006/relationships/hyperlink" Target="http://kodeks.duckdns.org/document/159533#g10" TargetMode="External"/><Relationship Id="rIduaq5b0ampdv1jxssihgin" Type="http://schemas.openxmlformats.org/officeDocument/2006/relationships/hyperlink" Target="http://kodeks.duckdns.org/document/159533#g1" TargetMode="External"/><Relationship Id="rId7qzlk0aqj5zv2fqnlfgqf" Type="http://schemas.openxmlformats.org/officeDocument/2006/relationships/hyperlink" Target="http://kodeks.duckdns.org/document/159533#g7" TargetMode="External"/><Relationship Id="rIds9fk6p17luzpguus0akcn" Type="http://schemas.openxmlformats.org/officeDocument/2006/relationships/hyperlink" Target="http://kodeks.duckdns.org/document/159533#p11" TargetMode="External"/><Relationship Id="rIdrizjey82-yuu2p2gj-cns" Type="http://schemas.openxmlformats.org/officeDocument/2006/relationships/hyperlink" Target="http://kodeks.duckdns.org/document/159533#pr4" TargetMode="External"/><Relationship Id="rIdsk2pqrwi_w0l1is_wkdfb" Type="http://schemas.openxmlformats.org/officeDocument/2006/relationships/hyperlink" Target="http://kodeks.duckdns.org/document/159533#g11" TargetMode="External"/><Relationship Id="rIdx3a3fl4cz4070llhepfct" Type="http://schemas.openxmlformats.org/officeDocument/2006/relationships/hyperlink" Target="http://kodeks.duckdns.org/document/159533#g12" TargetMode="External"/><Relationship Id="rIdirxvyhvv3gppfkvxozlbi" Type="http://schemas.openxmlformats.org/officeDocument/2006/relationships/hyperlink" Target="http://kodeks.duckdns.org/document/111254" TargetMode="External"/><Relationship Id="rIdwshtx5qge_q_jhcd7ivzw" Type="http://schemas.openxmlformats.org/officeDocument/2006/relationships/hyperlink" Target="http://kodeks.duckdns.org/document/159533#pr4" TargetMode="External"/><Relationship Id="rId3u328si5tez93ixbfxa2i" Type="http://schemas.openxmlformats.org/officeDocument/2006/relationships/hyperlink" Target="http://kodeks.duckdns.org/document/230034589" TargetMode="External"/><Relationship Id="rIdbiiwjrzsje-zg4fsuisyw" Type="http://schemas.openxmlformats.org/officeDocument/2006/relationships/hyperlink" Target="http://kodeks.duckdns.org/document/159531#pr1" TargetMode="External"/><Relationship Id="rId-j4dfi1vpsr_aql_31hnb" Type="http://schemas.openxmlformats.org/officeDocument/2006/relationships/hyperlink" Target="http://kodeks.duckdns.org/document/159531#pr2" TargetMode="External"/><Relationship Id="rIdxvyiuq1ht3iwplk8efnmx" Type="http://schemas.openxmlformats.org/officeDocument/2006/relationships/hyperlink" Target="http://kodeks.duckdns.org/document/159532#pr" TargetMode="External"/><Relationship Id="rIdgp1kpyznwp6is-wz8na3i" Type="http://schemas.openxmlformats.org/officeDocument/2006/relationships/hyperlink" Target="http://kodeks.duckdns.org/document/112346#st_25" TargetMode="External"/><Relationship Id="rIddywu-su1yencpdrnrufzi" Type="http://schemas.openxmlformats.org/officeDocument/2006/relationships/hyperlink" Target="http://kodeks.duckdns.org/document/112346#st_27" TargetMode="External"/><Relationship Id="rIdndkgy9boakn2ppakkzcip" Type="http://schemas.openxmlformats.org/officeDocument/2006/relationships/hyperlink" Target="http://kodeks.duckdns.org/document/112346#st_30" TargetMode="External"/><Relationship Id="rIdpmv8o4ggxxvj2wuhwrddy" Type="http://schemas.openxmlformats.org/officeDocument/2006/relationships/hyperlink" Target="http://kodeks.duckdns.org/document/112346" TargetMode="External"/><Relationship Id="rIdvnwajupsq470vwmfpuvf_" Type="http://schemas.openxmlformats.org/officeDocument/2006/relationships/hyperlink" Target="http://kodeks.duckdns.org/document/159532#pr1" TargetMode="External"/><Relationship Id="rId7vrvvgin3a2bp4tn0svfj" Type="http://schemas.openxmlformats.org/officeDocument/2006/relationships/hyperlink" Target="http://kodeks.duckdns.org/document/159532#pr2" TargetMode="External"/><Relationship Id="rId_7aqedjfm0put_trrxaty" Type="http://schemas.openxmlformats.org/officeDocument/2006/relationships/hyperlink" Target="http://kodeks.duckdns.org/document/159532#pr1" TargetMode="External"/><Relationship Id="rId2d7ijx_hxmnsm440jnlix" Type="http://schemas.openxmlformats.org/officeDocument/2006/relationships/hyperlink" Target="http://kodeks.duckdns.org/document/112346" TargetMode="External"/><Relationship Id="rIduw5m8s6e6jgqwr5jdgghc" Type="http://schemas.openxmlformats.org/officeDocument/2006/relationships/hyperlink" Target="http://kodeks.duckdns.org/document/112346" TargetMode="External"/><Relationship Id="rIdrryweh3l-ucghjwe4fy6r" Type="http://schemas.openxmlformats.org/officeDocument/2006/relationships/hyperlink" Target="http://kodeks.duckdns.org/document/112346" TargetMode="External"/><Relationship Id="rIdnkw8zzm93wiz7e8kqduxi" Type="http://schemas.openxmlformats.org/officeDocument/2006/relationships/hyperlink" Target="http://kodeks.duckdns.org/document/112346" TargetMode="External"/><Relationship Id="rIdzqu7genqimpqomjmxcar8" Type="http://schemas.openxmlformats.org/officeDocument/2006/relationships/hyperlink" Target="http://kodeks.duckdns.org/document/159532#pr1" TargetMode="External"/><Relationship Id="rIdzjdyqx-lccvdhegvjifxk" Type="http://schemas.openxmlformats.org/officeDocument/2006/relationships/hyperlink" Target="http://kodeks.duckdns.org/document/159532#pr2" TargetMode="External"/><Relationship Id="rIdy2tay4e8xzf9yn3jke_cw" Type="http://schemas.openxmlformats.org/officeDocument/2006/relationships/hyperlink" Target="http://kodeks.duckdns.org/document/202269" TargetMode="External"/><Relationship Id="rIdotme0jywkizfgam1de66z" Type="http://schemas.openxmlformats.org/officeDocument/2006/relationships/hyperlink" Target="http://kodeks.duckdns.org/document/159533#pr4" TargetMode="External"/><Relationship Id="rId7" Type="http://schemas.openxmlformats.org/officeDocument/2006/relationships/image" Target="media/93bec1c1538034512fe33c1434ae0ea86b639d33.png"/><Relationship Id="rId1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2026-09-23T10:10:03.790Z</dcterms:created>
  <dcterms:modified xsi:type="dcterms:W3CDTF">2026-09-23T10:10:03.790Z</dcterms:modified>
</cp:coreProperties>
</file>

<file path=docProps/custom.xml><?xml version="1.0" encoding="utf-8"?>
<Properties xmlns="http://schemas.openxmlformats.org/officeDocument/2006/custom-properties" xmlns:vt="http://schemas.openxmlformats.org/officeDocument/2006/docPropsVTypes"/>
</file>