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center"/>
      </w:pPr>
      <w:r>
        <w:rPr>
          <w:rFonts w:ascii="Arial" w:cs="Arial" w:eastAsia="Arial" w:hAnsi="Arial"/>
          <w:i/>
          <w:iCs/>
          <w:sz w:val="24"/>
          <w:szCs w:val="24"/>
        </w:rPr>
        <w:t xml:space="preserve">(к </w:t>
      </w:r>
      <w:hyperlink w:history="1" r:id="rIdngrhjzgo3rlzvc8lnbtt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14 ноября 2025 года № 739)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проверки исполнения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перечень проверяющих органов с указанием подконтрольных им финансовых учреждений и нефинансовых категорий лиц, а также задачи, функции и полномочия (права и обязанности) проверяющих органов по вопросам исполнения законодательства Кыргызской Республики в сфере противодействия финансированию преступной деятельности и легализации (отмыванию) преступных доходов (далее - ПФПД/ЛПД).</w:t>
      </w:r>
    </w:p>
    <w:p>
      <w:pPr>
        <w:spacing w:after="60"/>
        <w:ind w:firstLine="567"/>
        <w:jc w:val="both"/>
      </w:pPr>
      <w:r>
        <w:rPr>
          <w:rFonts w:ascii="Arial" w:cs="Arial" w:eastAsia="Arial" w:hAnsi="Arial"/>
          <w:sz w:val="24"/>
          <w:szCs w:val="24"/>
        </w:rPr>
        <w:t xml:space="preserve">2. Целями проверки являются:</w:t>
      </w:r>
    </w:p>
    <w:p>
      <w:pPr>
        <w:spacing w:after="60"/>
        <w:ind w:firstLine="567"/>
        <w:jc w:val="both"/>
      </w:pPr>
      <w:r>
        <w:rPr>
          <w:rFonts w:ascii="Arial" w:cs="Arial" w:eastAsia="Arial" w:hAnsi="Arial"/>
          <w:sz w:val="24"/>
          <w:szCs w:val="24"/>
        </w:rPr>
        <w:t xml:space="preserve">1) обеспечение соблюдения финансовыми учреждениями и нефинансовыми категориями лиц требований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2) выявление и устранение причин и условий, способствующих нарушению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3) обеспечение реализации отраслевой политики в сфере ПФПД/ЛПД.</w:t>
      </w:r>
    </w:p>
    <w:p>
      <w:pPr>
        <w:spacing w:after="60"/>
        <w:ind w:firstLine="567"/>
        <w:jc w:val="both"/>
      </w:pPr>
      <w:r>
        <w:rPr>
          <w:rFonts w:ascii="Arial" w:cs="Arial" w:eastAsia="Arial" w:hAnsi="Arial"/>
          <w:sz w:val="24"/>
          <w:szCs w:val="24"/>
        </w:rPr>
        <w:t xml:space="preserve">3.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орган финансовой разведки</w:t>
      </w:r>
      <w:r>
        <w:rPr>
          <w:rFonts w:ascii="Arial" w:cs="Arial" w:eastAsia="Arial" w:hAnsi="Arial"/>
          <w:sz w:val="24"/>
          <w:szCs w:val="24"/>
        </w:rPr>
        <w:t xml:space="preserve"> - уполномоченный государственный орган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подконтрольные лица</w:t>
      </w:r>
      <w:r>
        <w:rPr>
          <w:rFonts w:ascii="Arial" w:cs="Arial" w:eastAsia="Arial" w:hAnsi="Arial"/>
          <w:sz w:val="24"/>
          <w:szCs w:val="24"/>
        </w:rPr>
        <w:t xml:space="preserve"> - финансовые учреждения и нефинансовые категории лиц, находящиеся под контролем (надзором) соответствующего проверяющего органа;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проверяющие органы</w:t>
      </w:r>
      <w:r>
        <w:rPr>
          <w:rFonts w:ascii="Arial" w:cs="Arial" w:eastAsia="Arial" w:hAnsi="Arial"/>
          <w:sz w:val="24"/>
          <w:szCs w:val="24"/>
        </w:rPr>
        <w:t xml:space="preserve"> - государственные органы Кыргызской Республики, осуществляющие проверку деятельности соответствующих подконтрольных лиц по вопросам исполнения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риск</w:t>
      </w:r>
      <w:r>
        <w:rPr>
          <w:rFonts w:ascii="Arial" w:cs="Arial" w:eastAsia="Arial" w:hAnsi="Arial"/>
          <w:sz w:val="24"/>
          <w:szCs w:val="24"/>
        </w:rPr>
        <w:t xml:space="preserve"> - риск финансирования преступной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саморегулируемая организация</w:t>
      </w:r>
      <w:r>
        <w:rPr>
          <w:rFonts w:ascii="Arial" w:cs="Arial" w:eastAsia="Arial" w:hAnsi="Arial"/>
          <w:sz w:val="24"/>
          <w:szCs w:val="24"/>
        </w:rPr>
        <w:t xml:space="preserve"> - некоммерческая организация, созданная в целях саморегулирования предпринимательской деятельности, объединяющая субъектов предпринимательской деятельности по признаку единства отрасли или рынка производимых товаров (работ, услуг) или объединяющая субъектов одного вида профессиональной деятельности;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санкционный перечень</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осуществлении (совершении) и (или) участии в осуществлении (совершении) преступной деятельности;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финансовые учреждения и нефинансовые категории лиц</w:t>
      </w:r>
      <w:r>
        <w:rPr>
          <w:rFonts w:ascii="Arial" w:cs="Arial" w:eastAsia="Arial" w:hAnsi="Arial"/>
          <w:sz w:val="24"/>
          <w:szCs w:val="24"/>
        </w:rPr>
        <w:t xml:space="preserve"> - физические и юридические лица, указанные в </w:t>
      </w:r>
      <w:hyperlink w:history="1" r:id="rIdhp7brhfszbe9tx1rqpufo">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личный кабинет</w:t>
      </w:r>
      <w:r>
        <w:rPr>
          <w:rFonts w:ascii="Arial" w:cs="Arial" w:eastAsia="Arial" w:hAnsi="Arial"/>
          <w:sz w:val="24"/>
          <w:szCs w:val="24"/>
        </w:rPr>
        <w:t xml:space="preserve"> - информационный ресурс, который размещается на официальном сайте органа финансовой разведки, обеспечивает электронное и информационное взаимодействие его пользователей с органом финансовой разведки;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рейтинг банков по соблюдению требований ПФПД/ЛПД</w:t>
      </w:r>
      <w:r>
        <w:rPr>
          <w:rFonts w:ascii="Arial" w:cs="Arial" w:eastAsia="Arial" w:hAnsi="Arial"/>
          <w:sz w:val="24"/>
          <w:szCs w:val="24"/>
        </w:rPr>
        <w:t xml:space="preserve"> - это перечень финансовых учреждений, обладающих соответствующей лицензией на ведение банковской деятельности в Кыргызской Республике (в настоящем пункте - банки) и соответствующих определенному уровню оценки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безупречная деловая репутация </w:t>
      </w:r>
      <w:r>
        <w:rPr>
          <w:rFonts w:ascii="Arial" w:cs="Arial" w:eastAsia="Arial" w:hAnsi="Arial"/>
          <w:sz w:val="24"/>
          <w:szCs w:val="24"/>
        </w:rPr>
        <w:t xml:space="preserve">- наличие фактов, подтверждающих профессионализм и приверженность правовым и этическим нормам, а также отсутствие факторов, создающих неприемлемые риски для целей противодействия финансированию преступной деятельности и легализации (отмыванию) преступных доходов, включая наличие неснятой или непогашенной судимости, связи с преступной деятельностью и нарушения законодательства о ПФПД/ЛПД.</w:t>
      </w:r>
    </w:p>
    <w:p>
      <w:pPr>
        <w:spacing w:after="60"/>
        <w:ind w:firstLine="567"/>
        <w:jc w:val="both"/>
      </w:pPr>
      <w:r>
        <w:rPr>
          <w:rFonts w:ascii="Arial" w:cs="Arial" w:eastAsia="Arial" w:hAnsi="Arial"/>
          <w:sz w:val="24"/>
          <w:szCs w:val="24"/>
        </w:rPr>
        <w:t xml:space="preserve">Порядок определения уровня оценки банков в сфере противодействия финансированию преступной деятельности и легализации (отмыванию) преступных доходов и формирования Рейтинга банков по соблюдению требований ПФПД/ЛПД, а также порядок информирования заинтересованных сторон утверждаются органом финансовой разведки.</w:t>
      </w:r>
    </w:p>
    <w:p>
      <w:pPr>
        <w:spacing w:after="60"/>
        <w:ind w:firstLine="567"/>
        <w:jc w:val="both"/>
      </w:pPr>
      <w:r>
        <w:rPr>
          <w:rFonts w:ascii="Arial" w:cs="Arial" w:eastAsia="Arial" w:hAnsi="Arial"/>
          <w:sz w:val="24"/>
          <w:szCs w:val="24"/>
        </w:rPr>
        <w:t xml:space="preserve">Понятия и термины, не определенные в настоящем пункте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в настоящем Положении.</w:t>
      </w:r>
    </w:p>
    <w:p>
      <w:pPr>
        <w:spacing w:after="200" w:before="200"/>
        <w:jc w:val="center"/>
      </w:pPr>
      <w:r>
        <w:rPr>
          <w:rFonts w:ascii="Arial" w:cs="Arial" w:eastAsia="Arial" w:hAnsi="Arial"/>
          <w:b/>
          <w:bCs/>
          <w:sz w:val="24"/>
          <w:szCs w:val="24"/>
        </w:rPr>
        <w:t xml:space="preserve">Глава 2. Перечень проверяющих органов и их подконтрольных лиц</w:t>
      </w:r>
    </w:p>
    <w:p>
      <w:pPr>
        <w:spacing w:after="60"/>
        <w:ind w:firstLine="567"/>
        <w:jc w:val="both"/>
      </w:pPr>
      <w:r>
        <w:rPr>
          <w:rFonts w:ascii="Arial" w:cs="Arial" w:eastAsia="Arial" w:hAnsi="Arial"/>
          <w:sz w:val="24"/>
          <w:szCs w:val="24"/>
        </w:rPr>
        <w:t xml:space="preserve">4. Проверяющими органами являются:</w:t>
      </w:r>
    </w:p>
    <w:p>
      <w:pPr>
        <w:spacing w:after="60"/>
        <w:ind w:firstLine="567"/>
        <w:jc w:val="both"/>
      </w:pPr>
      <w:r>
        <w:rPr>
          <w:rFonts w:ascii="Arial" w:cs="Arial" w:eastAsia="Arial" w:hAnsi="Arial"/>
          <w:sz w:val="24"/>
          <w:szCs w:val="24"/>
        </w:rPr>
        <w:t xml:space="preserve">1) Национальный банк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Кыргызской Республики в сфере регулирования и надзора за финансовым рынком;</w:t>
      </w:r>
    </w:p>
    <w:p>
      <w:pPr>
        <w:spacing w:after="60"/>
        <w:ind w:firstLine="567"/>
        <w:jc w:val="both"/>
      </w:pPr>
      <w:r>
        <w:rPr>
          <w:rFonts w:ascii="Arial" w:cs="Arial" w:eastAsia="Arial" w:hAnsi="Arial"/>
          <w:sz w:val="24"/>
          <w:szCs w:val="24"/>
        </w:rPr>
        <w:t xml:space="preserve">3) уполномоченный государственный орган по связи;</w:t>
      </w:r>
    </w:p>
    <w:p>
      <w:pPr>
        <w:spacing w:after="60"/>
        <w:ind w:firstLine="567"/>
        <w:jc w:val="both"/>
      </w:pPr>
      <w:r>
        <w:rPr>
          <w:rFonts w:ascii="Arial" w:cs="Arial" w:eastAsia="Arial" w:hAnsi="Arial"/>
          <w:sz w:val="24"/>
          <w:szCs w:val="24"/>
        </w:rPr>
        <w:t xml:space="preserve">4) уполномоченный государственный орган Кыргызской Республики в сфере драгоценных металлов;</w:t>
      </w:r>
    </w:p>
    <w:p>
      <w:pPr>
        <w:spacing w:after="60"/>
        <w:ind w:firstLine="567"/>
        <w:jc w:val="both"/>
      </w:pPr>
      <w:r>
        <w:rPr>
          <w:rFonts w:ascii="Arial" w:cs="Arial" w:eastAsia="Arial" w:hAnsi="Arial"/>
          <w:sz w:val="24"/>
          <w:szCs w:val="24"/>
        </w:rPr>
        <w:t xml:space="preserve">5) Министерство юстиции Кыргызской Республики;</w:t>
      </w:r>
    </w:p>
    <w:p>
      <w:pPr>
        <w:spacing w:after="60"/>
        <w:ind w:firstLine="567"/>
        <w:jc w:val="both"/>
      </w:pPr>
      <w:r>
        <w:rPr>
          <w:rFonts w:ascii="Arial" w:cs="Arial" w:eastAsia="Arial" w:hAnsi="Arial"/>
          <w:sz w:val="24"/>
          <w:szCs w:val="24"/>
        </w:rPr>
        <w:t xml:space="preserve">6) саморегулируемые организации.</w:t>
      </w:r>
    </w:p>
    <w:p>
      <w:pPr>
        <w:spacing w:after="60"/>
        <w:ind w:firstLine="567"/>
        <w:jc w:val="both"/>
      </w:pPr>
      <w:r>
        <w:rPr>
          <w:rFonts w:ascii="Arial" w:cs="Arial" w:eastAsia="Arial" w:hAnsi="Arial"/>
          <w:sz w:val="24"/>
          <w:szCs w:val="24"/>
        </w:rPr>
        <w:t xml:space="preserve">5. Национальный банк Кыргызской Республики осуществляет проверку (инспектирование) деятельности следующих подконтрольных лиц:</w:t>
      </w:r>
    </w:p>
    <w:p>
      <w:pPr>
        <w:spacing w:after="60"/>
        <w:ind w:firstLine="567"/>
        <w:jc w:val="both"/>
      </w:pPr>
      <w:r>
        <w:rPr>
          <w:rFonts w:ascii="Arial" w:cs="Arial" w:eastAsia="Arial" w:hAnsi="Arial"/>
          <w:sz w:val="24"/>
          <w:szCs w:val="24"/>
        </w:rPr>
        <w:t xml:space="preserve">1) коммерческие банки;</w:t>
      </w:r>
    </w:p>
    <w:p>
      <w:pPr>
        <w:spacing w:after="60"/>
        <w:ind w:firstLine="567"/>
        <w:jc w:val="both"/>
      </w:pPr>
      <w:r>
        <w:rPr>
          <w:rFonts w:ascii="Arial" w:cs="Arial" w:eastAsia="Arial" w:hAnsi="Arial"/>
          <w:sz w:val="24"/>
          <w:szCs w:val="24"/>
        </w:rPr>
        <w:t xml:space="preserve">2) кредитные союзы;</w:t>
      </w:r>
    </w:p>
    <w:p>
      <w:pPr>
        <w:spacing w:after="60"/>
        <w:ind w:firstLine="567"/>
        <w:jc w:val="both"/>
      </w:pPr>
      <w:r>
        <w:rPr>
          <w:rFonts w:ascii="Arial" w:cs="Arial" w:eastAsia="Arial" w:hAnsi="Arial"/>
          <w:sz w:val="24"/>
          <w:szCs w:val="24"/>
        </w:rPr>
        <w:t xml:space="preserve">3) микрофинансовые организации (микрокредитные агентства, микрокредитные компании, микрофинансовые компании, специализированные финансово-кредитные учреждения);</w:t>
      </w:r>
    </w:p>
    <w:p>
      <w:pPr>
        <w:spacing w:after="60"/>
        <w:ind w:firstLine="567"/>
        <w:jc w:val="both"/>
      </w:pPr>
      <w:r>
        <w:rPr>
          <w:rFonts w:ascii="Arial" w:cs="Arial" w:eastAsia="Arial" w:hAnsi="Arial"/>
          <w:sz w:val="24"/>
          <w:szCs w:val="24"/>
        </w:rPr>
        <w:t xml:space="preserve">4) обменные бюро;</w:t>
      </w:r>
    </w:p>
    <w:p>
      <w:pPr>
        <w:spacing w:after="60"/>
        <w:ind w:firstLine="567"/>
        <w:jc w:val="both"/>
      </w:pPr>
      <w:r>
        <w:rPr>
          <w:rFonts w:ascii="Arial" w:cs="Arial" w:eastAsia="Arial" w:hAnsi="Arial"/>
          <w:sz w:val="24"/>
          <w:szCs w:val="24"/>
        </w:rPr>
        <w:t xml:space="preserve">5) операторы системы расчетов с использованием электронных денег;</w:t>
      </w:r>
    </w:p>
    <w:p>
      <w:pPr>
        <w:spacing w:after="60"/>
        <w:ind w:firstLine="567"/>
        <w:jc w:val="both"/>
      </w:pPr>
      <w:r>
        <w:rPr>
          <w:rFonts w:ascii="Arial" w:cs="Arial" w:eastAsia="Arial" w:hAnsi="Arial"/>
          <w:sz w:val="24"/>
          <w:szCs w:val="24"/>
        </w:rPr>
        <w:t xml:space="preserve">6) платежные организации;</w:t>
      </w:r>
    </w:p>
    <w:p>
      <w:pPr>
        <w:spacing w:after="60"/>
        <w:ind w:firstLine="567"/>
        <w:jc w:val="both"/>
      </w:pPr>
      <w:r>
        <w:rPr>
          <w:rFonts w:ascii="Arial" w:cs="Arial" w:eastAsia="Arial" w:hAnsi="Arial"/>
          <w:sz w:val="24"/>
          <w:szCs w:val="24"/>
        </w:rPr>
        <w:t xml:space="preserve">7) ссудно-сберегательные жилищно-строительные кассы;</w:t>
      </w:r>
    </w:p>
    <w:p>
      <w:pPr>
        <w:spacing w:after="60"/>
        <w:ind w:firstLine="567"/>
        <w:jc w:val="both"/>
      </w:pPr>
      <w:r>
        <w:rPr>
          <w:rFonts w:ascii="Arial" w:cs="Arial" w:eastAsia="Arial" w:hAnsi="Arial"/>
          <w:sz w:val="24"/>
          <w:szCs w:val="24"/>
        </w:rPr>
        <w:t xml:space="preserve">8) эмитенты и агенты (дистрибьюторы) электронных денег;</w:t>
      </w:r>
    </w:p>
    <w:p>
      <w:pPr>
        <w:spacing w:after="60"/>
        <w:ind w:firstLine="567"/>
        <w:jc w:val="both"/>
      </w:pPr>
      <w:r>
        <w:rPr>
          <w:rFonts w:ascii="Arial" w:cs="Arial" w:eastAsia="Arial" w:hAnsi="Arial"/>
          <w:sz w:val="24"/>
          <w:szCs w:val="24"/>
        </w:rPr>
        <w:t xml:space="preserve">9) поставщики услуг виртуальных активов, имеющие лицензию Национального банка Кыргызской Республики на осуществление банковских операций.</w:t>
      </w:r>
    </w:p>
    <w:p>
      <w:pPr>
        <w:spacing w:after="60"/>
        <w:ind w:firstLine="567"/>
        <w:jc w:val="both"/>
      </w:pPr>
      <w:r>
        <w:rPr>
          <w:rFonts w:ascii="Arial" w:cs="Arial" w:eastAsia="Arial" w:hAnsi="Arial"/>
          <w:sz w:val="24"/>
          <w:szCs w:val="24"/>
        </w:rPr>
        <w:t xml:space="preserve">6. Уполномоченный государственный орган Кыргызской Республики в сфере регулирования и надзора за финансовым рынком осуществляет проверку деятельности следующих подконтрольных лиц:</w:t>
      </w:r>
    </w:p>
    <w:p>
      <w:pPr>
        <w:spacing w:after="60"/>
        <w:ind w:firstLine="567"/>
        <w:jc w:val="both"/>
      </w:pPr>
      <w:r>
        <w:rPr>
          <w:rFonts w:ascii="Arial" w:cs="Arial" w:eastAsia="Arial" w:hAnsi="Arial"/>
          <w:sz w:val="24"/>
          <w:szCs w:val="24"/>
        </w:rPr>
        <w:t xml:space="preserve">1) лизинговые компании (организации);</w:t>
      </w:r>
    </w:p>
    <w:p>
      <w:pPr>
        <w:spacing w:after="60"/>
        <w:ind w:firstLine="567"/>
        <w:jc w:val="both"/>
      </w:pPr>
      <w:r>
        <w:rPr>
          <w:rFonts w:ascii="Arial" w:cs="Arial" w:eastAsia="Arial" w:hAnsi="Arial"/>
          <w:sz w:val="24"/>
          <w:szCs w:val="24"/>
        </w:rPr>
        <w:t xml:space="preserve">2) ломбарды;</w:t>
      </w:r>
    </w:p>
    <w:p>
      <w:pPr>
        <w:spacing w:after="60"/>
        <w:ind w:firstLine="567"/>
        <w:jc w:val="both"/>
      </w:pPr>
      <w:r>
        <w:rPr>
          <w:rFonts w:ascii="Arial" w:cs="Arial" w:eastAsia="Arial" w:hAnsi="Arial"/>
          <w:sz w:val="24"/>
          <w:szCs w:val="24"/>
        </w:rPr>
        <w:t xml:space="preserve">3) накопительные пенсионные фонды;</w:t>
      </w:r>
    </w:p>
    <w:p>
      <w:pPr>
        <w:spacing w:after="60"/>
        <w:ind w:firstLine="567"/>
        <w:jc w:val="both"/>
      </w:pPr>
      <w:r>
        <w:rPr>
          <w:rFonts w:ascii="Arial" w:cs="Arial" w:eastAsia="Arial" w:hAnsi="Arial"/>
          <w:sz w:val="24"/>
          <w:szCs w:val="24"/>
        </w:rPr>
        <w:t xml:space="preserve">4) юридические лица, осуществляющие игорную деятельность;</w:t>
      </w:r>
    </w:p>
    <w:p>
      <w:pPr>
        <w:spacing w:after="60"/>
        <w:ind w:firstLine="567"/>
        <w:jc w:val="both"/>
      </w:pPr>
      <w:r>
        <w:rPr>
          <w:rFonts w:ascii="Arial" w:cs="Arial" w:eastAsia="Arial" w:hAnsi="Arial"/>
          <w:sz w:val="24"/>
          <w:szCs w:val="24"/>
        </w:rPr>
        <w:t xml:space="preserve">5) перестраховочные организации и брокеры;</w:t>
      </w:r>
    </w:p>
    <w:p>
      <w:pPr>
        <w:spacing w:after="60"/>
        <w:ind w:firstLine="567"/>
        <w:jc w:val="both"/>
      </w:pPr>
      <w:r>
        <w:rPr>
          <w:rFonts w:ascii="Arial" w:cs="Arial" w:eastAsia="Arial" w:hAnsi="Arial"/>
          <w:sz w:val="24"/>
          <w:szCs w:val="24"/>
        </w:rPr>
        <w:t xml:space="preserve">6) профессиональные участники рынка ценных бумаг (брокеры, дилеры, депозитарии, номинальные держатели, независимые реестродержатели ценных бумаг, андеррайтеры, инвестиционные фонды, фондовые биржи, управляющие компании по доверительному управлению инвестиционными активами, управляющие компании по доверительному управлению пенсионными активами);</w:t>
      </w:r>
    </w:p>
    <w:p>
      <w:pPr>
        <w:spacing w:after="60"/>
        <w:ind w:firstLine="567"/>
        <w:jc w:val="both"/>
      </w:pPr>
      <w:r>
        <w:rPr>
          <w:rFonts w:ascii="Arial" w:cs="Arial" w:eastAsia="Arial" w:hAnsi="Arial"/>
          <w:sz w:val="24"/>
          <w:szCs w:val="24"/>
        </w:rPr>
        <w:t xml:space="preserve">7) страховые организации (страховщики);</w:t>
      </w:r>
    </w:p>
    <w:p>
      <w:pPr>
        <w:spacing w:after="60"/>
        <w:ind w:firstLine="567"/>
        <w:jc w:val="both"/>
      </w:pPr>
      <w:r>
        <w:rPr>
          <w:rFonts w:ascii="Arial" w:cs="Arial" w:eastAsia="Arial" w:hAnsi="Arial"/>
          <w:sz w:val="24"/>
          <w:szCs w:val="24"/>
        </w:rPr>
        <w:t xml:space="preserve">8) страховые брокеры;</w:t>
      </w:r>
    </w:p>
    <w:p>
      <w:pPr>
        <w:spacing w:after="60"/>
        <w:ind w:firstLine="567"/>
        <w:jc w:val="both"/>
      </w:pPr>
      <w:r>
        <w:rPr>
          <w:rFonts w:ascii="Arial" w:cs="Arial" w:eastAsia="Arial" w:hAnsi="Arial"/>
          <w:sz w:val="24"/>
          <w:szCs w:val="24"/>
        </w:rPr>
        <w:t xml:space="preserve">9) товарные биржи;</w:t>
      </w:r>
    </w:p>
    <w:p>
      <w:pPr>
        <w:spacing w:after="60"/>
        <w:ind w:firstLine="567"/>
        <w:jc w:val="both"/>
      </w:pPr>
      <w:r>
        <w:rPr>
          <w:rFonts w:ascii="Arial" w:cs="Arial" w:eastAsia="Arial" w:hAnsi="Arial"/>
          <w:sz w:val="24"/>
          <w:szCs w:val="24"/>
        </w:rPr>
        <w:t xml:space="preserve">10) поставщики услуг виртуальных активов.</w:t>
      </w:r>
    </w:p>
    <w:p>
      <w:pPr>
        <w:spacing w:after="60"/>
        <w:ind w:firstLine="567"/>
        <w:jc w:val="both"/>
      </w:pPr>
      <w:r>
        <w:rPr>
          <w:rFonts w:ascii="Arial" w:cs="Arial" w:eastAsia="Arial" w:hAnsi="Arial"/>
          <w:sz w:val="24"/>
          <w:szCs w:val="24"/>
        </w:rPr>
        <w:t xml:space="preserve">7. Уполномоченный государственный орган по связи осуществляет проверку деятельности предприятий почтовой связи.</w:t>
      </w:r>
    </w:p>
    <w:p>
      <w:pPr>
        <w:spacing w:after="60"/>
        <w:ind w:firstLine="567"/>
        <w:jc w:val="both"/>
      </w:pPr>
      <w:r>
        <w:rPr>
          <w:rFonts w:ascii="Arial" w:cs="Arial" w:eastAsia="Arial" w:hAnsi="Arial"/>
          <w:sz w:val="24"/>
          <w:szCs w:val="24"/>
        </w:rPr>
        <w:t xml:space="preserve">8. Уполномоченный государственный орган Кыргызской Республики в сфере драгоценных металлов осуществляет проверку деятельности физических и юридических лиц, осуществляющих операции (сделки) с драгоценными металлами и камнями, ювелирными изделиями из них, а также ломом таких изделий.</w:t>
      </w:r>
    </w:p>
    <w:p>
      <w:pPr>
        <w:spacing w:after="60"/>
        <w:ind w:firstLine="567"/>
        <w:jc w:val="both"/>
      </w:pPr>
      <w:r>
        <w:rPr>
          <w:rFonts w:ascii="Arial" w:cs="Arial" w:eastAsia="Arial" w:hAnsi="Arial"/>
          <w:sz w:val="24"/>
          <w:szCs w:val="24"/>
        </w:rPr>
        <w:t xml:space="preserve">9. Министерство юстиции Кыргызской Республики осуществляет проверку деятельности государственных и частных нотариусов.</w:t>
      </w:r>
    </w:p>
    <w:p>
      <w:pPr>
        <w:spacing w:after="60"/>
        <w:ind w:firstLine="567"/>
        <w:jc w:val="both"/>
      </w:pPr>
      <w:r>
        <w:rPr>
          <w:rFonts w:ascii="Arial" w:cs="Arial" w:eastAsia="Arial" w:hAnsi="Arial"/>
          <w:sz w:val="24"/>
          <w:szCs w:val="24"/>
        </w:rPr>
        <w:t xml:space="preserve">10. Саморегулируемые организации осуществляют проверку деятельности следующих подконтрольных лиц:</w:t>
      </w:r>
    </w:p>
    <w:p>
      <w:pPr>
        <w:spacing w:after="60"/>
        <w:ind w:firstLine="567"/>
        <w:jc w:val="both"/>
      </w:pPr>
      <w:r>
        <w:rPr>
          <w:rFonts w:ascii="Arial" w:cs="Arial" w:eastAsia="Arial" w:hAnsi="Arial"/>
          <w:sz w:val="24"/>
          <w:szCs w:val="24"/>
        </w:rPr>
        <w:t xml:space="preserve">1) ипотечные компании (организации);</w:t>
      </w:r>
    </w:p>
    <w:p>
      <w:pPr>
        <w:spacing w:after="60"/>
        <w:ind w:firstLine="567"/>
        <w:jc w:val="both"/>
      </w:pPr>
      <w:r>
        <w:rPr>
          <w:rFonts w:ascii="Arial" w:cs="Arial" w:eastAsia="Arial" w:hAnsi="Arial"/>
          <w:sz w:val="24"/>
          <w:szCs w:val="24"/>
        </w:rPr>
        <w:t xml:space="preserve">2) риэлторы (агенты, брокеры, посредники, организаторы торговли недвижимым имуществом, доверительное управление недвижимым имуществом);</w:t>
      </w:r>
    </w:p>
    <w:p>
      <w:pPr>
        <w:spacing w:after="60"/>
        <w:ind w:firstLine="567"/>
        <w:jc w:val="both"/>
      </w:pPr>
      <w:r>
        <w:rPr>
          <w:rFonts w:ascii="Arial" w:cs="Arial" w:eastAsia="Arial" w:hAnsi="Arial"/>
          <w:sz w:val="24"/>
          <w:szCs w:val="24"/>
        </w:rPr>
        <w:t xml:space="preserve">3) независимые юристы (индивидуальные предприниматели), юридические компании и их сотрудники (юрисконсульты), оказывающие на профессиональной основе услуги по подготовке к проведению операции (сделки) или совершающие операции (сделки) от имени или по поручению своего клиента на основе заключенного контракта;</w:t>
      </w:r>
    </w:p>
    <w:p>
      <w:pPr>
        <w:spacing w:after="60"/>
        <w:ind w:firstLine="567"/>
        <w:jc w:val="both"/>
      </w:pPr>
      <w:r>
        <w:rPr>
          <w:rFonts w:ascii="Arial" w:cs="Arial" w:eastAsia="Arial" w:hAnsi="Arial"/>
          <w:sz w:val="24"/>
          <w:szCs w:val="24"/>
        </w:rPr>
        <w:t xml:space="preserve">4) физические и юридические лица, предоставляющие услуги по созданию юридических лиц или управлению юридическими лицами.</w:t>
      </w:r>
    </w:p>
    <w:p>
      <w:pPr>
        <w:spacing w:after="60"/>
        <w:ind w:firstLine="567"/>
        <w:jc w:val="both"/>
      </w:pPr>
      <w:r>
        <w:rPr>
          <w:rFonts w:ascii="Arial" w:cs="Arial" w:eastAsia="Arial" w:hAnsi="Arial"/>
          <w:sz w:val="24"/>
          <w:szCs w:val="24"/>
        </w:rPr>
        <w:t xml:space="preserve">Список саморегулируемых организаций определяется органом финансовой разведки.</w:t>
      </w:r>
    </w:p>
    <w:p>
      <w:pPr>
        <w:spacing w:after="60"/>
        <w:ind w:firstLine="567"/>
        <w:jc w:val="both"/>
      </w:pPr>
      <w:r>
        <w:rPr>
          <w:rFonts w:ascii="Arial" w:cs="Arial" w:eastAsia="Arial" w:hAnsi="Arial"/>
          <w:sz w:val="24"/>
          <w:szCs w:val="24"/>
        </w:rPr>
        <w:t xml:space="preserve">11. Список финансовых учреждений и нефинансовых категорий лиц в виде электронной базы данных формируется и публикуется органом финансовой разведки.</w:t>
      </w:r>
    </w:p>
    <w:p>
      <w:pPr>
        <w:spacing w:after="200" w:before="200"/>
        <w:jc w:val="center"/>
      </w:pPr>
      <w:r>
        <w:rPr>
          <w:rFonts w:ascii="Arial" w:cs="Arial" w:eastAsia="Arial" w:hAnsi="Arial"/>
          <w:b/>
          <w:bCs/>
          <w:sz w:val="24"/>
          <w:szCs w:val="24"/>
        </w:rPr>
        <w:t xml:space="preserve">Глава 3. Задачи, функции и полномочия (права и обязанности) проверяющих органов</w:t>
      </w:r>
    </w:p>
    <w:p>
      <w:pPr>
        <w:spacing w:after="60"/>
        <w:ind w:firstLine="567"/>
        <w:jc w:val="both"/>
      </w:pPr>
      <w:r>
        <w:rPr>
          <w:rFonts w:ascii="Arial" w:cs="Arial" w:eastAsia="Arial" w:hAnsi="Arial"/>
          <w:sz w:val="24"/>
          <w:szCs w:val="24"/>
        </w:rPr>
        <w:t xml:space="preserve">12. Задачи и функции проверяющих органов определяются в главах </w:t>
      </w:r>
      <w:hyperlink w:history="1" r:id="rIdw5w04fkaw7c60oszjnjtt">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hyperlink w:history="1" r:id="rIdybzg195stwthydv9pz9z5">
        <w:r>
          <w:rPr>
            <w:rFonts w:ascii="Arial" w:cs="Arial" w:eastAsia="Arial" w:hAnsi="Arial"/>
            <w:color w:val="1D4ED8"/>
            <w:sz w:val="24"/>
            <w:szCs w:val="24"/>
            <w:u w:val="single"/>
          </w:rPr>
          <w:t xml:space="preserve">7</w:t>
        </w:r>
      </w:hyperlink>
      <w:r>
        <w:rPr>
          <w:rFonts w:ascii="Arial" w:cs="Arial" w:eastAsia="Arial" w:hAnsi="Arial"/>
          <w:sz w:val="24"/>
          <w:szCs w:val="24"/>
        </w:rPr>
        <w:t xml:space="preserve"> настоящего Положения и законодательством Кыргызской Республики, регулирующим их деятельность.</w:t>
      </w:r>
    </w:p>
    <w:p>
      <w:pPr>
        <w:spacing w:after="60"/>
        <w:ind w:firstLine="567"/>
        <w:jc w:val="both"/>
      </w:pPr>
      <w:r>
        <w:rPr>
          <w:rFonts w:ascii="Arial" w:cs="Arial" w:eastAsia="Arial" w:hAnsi="Arial"/>
          <w:sz w:val="24"/>
          <w:szCs w:val="24"/>
        </w:rPr>
        <w:t xml:space="preserve">13. Проверяющие органы вправе:</w:t>
      </w:r>
    </w:p>
    <w:p>
      <w:pPr>
        <w:spacing w:after="60"/>
        <w:ind w:firstLine="567"/>
        <w:jc w:val="both"/>
      </w:pPr>
      <w:r>
        <w:rPr>
          <w:rFonts w:ascii="Arial" w:cs="Arial" w:eastAsia="Arial" w:hAnsi="Arial"/>
          <w:sz w:val="24"/>
          <w:szCs w:val="24"/>
        </w:rPr>
        <w:t xml:space="preserve">1) запрашивать и получать от подконтрольных лиц информацию или документы, необходимые для выполнения ими функций по проверке деятельности подконтрольных лиц;</w:t>
      </w:r>
    </w:p>
    <w:p>
      <w:pPr>
        <w:spacing w:after="60"/>
        <w:ind w:firstLine="567"/>
        <w:jc w:val="both"/>
      </w:pPr>
      <w:r>
        <w:rPr>
          <w:rFonts w:ascii="Arial" w:cs="Arial" w:eastAsia="Arial" w:hAnsi="Arial"/>
          <w:sz w:val="24"/>
          <w:szCs w:val="24"/>
        </w:rPr>
        <w:t xml:space="preserve">2) предоставлять методологическую, методическую помощь подконтрольным лицам и обеспечивать обратную связь с подконтрольными лицами по вопросам исполнения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3) проводить обучающие мероприятия для подконтрольных лиц по вопросам ПФПД/ЛПД;</w:t>
      </w:r>
    </w:p>
    <w:p>
      <w:pPr>
        <w:spacing w:after="60"/>
        <w:ind w:firstLine="567"/>
        <w:jc w:val="both"/>
      </w:pPr>
      <w:r>
        <w:rPr>
          <w:rFonts w:ascii="Arial" w:cs="Arial" w:eastAsia="Arial" w:hAnsi="Arial"/>
          <w:sz w:val="24"/>
          <w:szCs w:val="24"/>
        </w:rPr>
        <w:t xml:space="preserve">4) осуществлять сотрудничество и обмен информацией с контролирующими органами иностранных государств по вопросам ПФПД/ЛПД.</w:t>
      </w:r>
    </w:p>
    <w:p>
      <w:pPr>
        <w:spacing w:after="60"/>
        <w:ind w:firstLine="567"/>
        <w:jc w:val="both"/>
      </w:pPr>
      <w:r>
        <w:rPr>
          <w:rFonts w:ascii="Arial" w:cs="Arial" w:eastAsia="Arial" w:hAnsi="Arial"/>
          <w:sz w:val="24"/>
          <w:szCs w:val="24"/>
        </w:rPr>
        <w:t xml:space="preserve">14. Проверяющие органы обязаны:</w:t>
      </w:r>
    </w:p>
    <w:p>
      <w:pPr>
        <w:spacing w:after="60"/>
        <w:ind w:firstLine="567"/>
        <w:jc w:val="both"/>
      </w:pPr>
      <w:r>
        <w:rPr>
          <w:rFonts w:ascii="Arial" w:cs="Arial" w:eastAsia="Arial" w:hAnsi="Arial"/>
          <w:sz w:val="24"/>
          <w:szCs w:val="24"/>
        </w:rPr>
        <w:t xml:space="preserve">1) обеспечивать соблюдение прав и законных интересов человека и гражданина, юридических лиц и государства в процессе осуществления проверки;</w:t>
      </w:r>
    </w:p>
    <w:p>
      <w:pPr>
        <w:spacing w:after="60"/>
        <w:ind w:firstLine="567"/>
        <w:jc w:val="both"/>
      </w:pPr>
      <w:r>
        <w:rPr>
          <w:rFonts w:ascii="Arial" w:cs="Arial" w:eastAsia="Arial" w:hAnsi="Arial"/>
          <w:sz w:val="24"/>
          <w:szCs w:val="24"/>
        </w:rPr>
        <w:t xml:space="preserve">2) формировать и своевременно обновлять перечень подконтрольных лиц с указанием идентификационных сведений, а также размещать его на официальном сайте проверяющего органа;</w:t>
      </w:r>
    </w:p>
    <w:p>
      <w:pPr>
        <w:spacing w:after="60"/>
        <w:ind w:firstLine="567"/>
        <w:jc w:val="both"/>
      </w:pPr>
      <w:r>
        <w:rPr>
          <w:rFonts w:ascii="Arial" w:cs="Arial" w:eastAsia="Arial" w:hAnsi="Arial"/>
          <w:sz w:val="24"/>
          <w:szCs w:val="24"/>
        </w:rPr>
        <w:t xml:space="preserve">3) осуществлять проверку учредителей, заявителей, уполномоченных представителей, участников (акционеров) со значительной долей участия (25 и более процентов акций или долей в уставном капитале), бенефициарных владельцев и руководства подконтрольных лиц на соответствие требованиям о безупречной деловой репутации. Такая проверка включает:</w:t>
      </w:r>
    </w:p>
    <w:p>
      <w:pPr>
        <w:spacing w:after="60"/>
        <w:ind w:firstLine="567"/>
        <w:jc w:val="both"/>
      </w:pPr>
      <w:r>
        <w:rPr>
          <w:rFonts w:ascii="Arial" w:cs="Arial" w:eastAsia="Arial" w:hAnsi="Arial"/>
          <w:sz w:val="24"/>
          <w:szCs w:val="24"/>
        </w:rPr>
        <w:t xml:space="preserve">- проверку на наличие или отсутствие судимости за совершение умышленных преступлений, а также сведений в санкционном перечне и списках разыскиваемых лиц (национальном и международном);</w:t>
      </w:r>
    </w:p>
    <w:p>
      <w:pPr>
        <w:spacing w:after="60"/>
        <w:ind w:firstLine="567"/>
        <w:jc w:val="both"/>
      </w:pPr>
      <w:r>
        <w:rPr>
          <w:rFonts w:ascii="Arial" w:cs="Arial" w:eastAsia="Arial" w:hAnsi="Arial"/>
          <w:sz w:val="24"/>
          <w:szCs w:val="24"/>
        </w:rPr>
        <w:t xml:space="preserve">- направление запросов в орган финансовой разведки и уполномоченные правоохранительные органы для получения заключения о наличии или отсутствии иной информации, имеющей значение для оценки деловой репутации,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4) в течение одного рабочего дня информировать орган финансовой разведки, правоохранительные органы и орган национальной безопасности Кыргызской Республики в случае совпадения идентификационных данных учредителя, заявителя, уполномоченного представителя, участника со значительной долей акций, бенефициарного владельца и руководства подконтрольных лиц с идентификационными данными лица, предусмотренного в списках разыскиваемых лиц (национальный и международный) и санкционном перечне, а также отказать им в регистрации либо в выдаче лицензии;</w:t>
      </w:r>
    </w:p>
    <w:p>
      <w:pPr>
        <w:spacing w:after="60"/>
        <w:ind w:firstLine="567"/>
        <w:jc w:val="both"/>
      </w:pPr>
      <w:r>
        <w:rPr>
          <w:rFonts w:ascii="Arial" w:cs="Arial" w:eastAsia="Arial" w:hAnsi="Arial"/>
          <w:sz w:val="24"/>
          <w:szCs w:val="24"/>
        </w:rPr>
        <w:t xml:space="preserve">5) проводить проверку деятельности соответствующего подконтрольного лица по вопросам исполнения законодательства Кыргызской Республики в сфере ПФПД/ЛПД и собирать информацию о соблюдении подконтрольным лицом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6) применять к подконтрольным лицам меры воздействия (санкции) за несоблюдение требований законодательства Кыргызской Республики в сфере ПФПД/ЛПД в соответствии с законодательством Кыргызской Республики, регулирующим деятельность проверяющих органов;</w:t>
      </w:r>
    </w:p>
    <w:p>
      <w:pPr>
        <w:spacing w:after="60"/>
        <w:ind w:firstLine="567"/>
        <w:jc w:val="both"/>
      </w:pPr>
      <w:r>
        <w:rPr>
          <w:rFonts w:ascii="Arial" w:cs="Arial" w:eastAsia="Arial" w:hAnsi="Arial"/>
          <w:sz w:val="24"/>
          <w:szCs w:val="24"/>
        </w:rPr>
        <w:t xml:space="preserve">7) при проведении проверки деятельности подконтрольных лиц использовать информацию о рисках и типологиях (схемах) финансирования преступной деятельности и легализации (отмывания) преступных доходов, а также информацию о типичных видах нарушений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8) обеспечивать соответствующий режим защиты и хранения информации, составляющей служебную, коммерческую, банковскую или иную охраняемую законом тайну, полученную в процессе взаимодействия с подконтрольными лицами, органом финансовой разведки, правоохранительными органами и органом национальной безопасности;</w:t>
      </w:r>
    </w:p>
    <w:p>
      <w:pPr>
        <w:spacing w:after="60"/>
        <w:ind w:firstLine="567"/>
        <w:jc w:val="both"/>
      </w:pPr>
      <w:r>
        <w:rPr>
          <w:rFonts w:ascii="Arial" w:cs="Arial" w:eastAsia="Arial" w:hAnsi="Arial"/>
          <w:sz w:val="24"/>
          <w:szCs w:val="24"/>
        </w:rPr>
        <w:t xml:space="preserve">9) использовать личный кабинет в целях осуществления риск-ориентированного надзора;</w:t>
      </w:r>
    </w:p>
    <w:p>
      <w:pPr>
        <w:spacing w:after="60"/>
        <w:ind w:firstLine="567"/>
        <w:jc w:val="both"/>
      </w:pPr>
      <w:r>
        <w:rPr>
          <w:rFonts w:ascii="Arial" w:cs="Arial" w:eastAsia="Arial" w:hAnsi="Arial"/>
          <w:sz w:val="24"/>
          <w:szCs w:val="24"/>
        </w:rPr>
        <w:t xml:space="preserve">10) использовать Рейтинг банков по соблюдению требований ПФПД/ЛПД в целях осуществления риск-ориентированного надзора.</w:t>
      </w:r>
    </w:p>
    <w:p>
      <w:pPr>
        <w:spacing w:after="200" w:before="200"/>
        <w:jc w:val="center"/>
      </w:pPr>
      <w:r>
        <w:rPr>
          <w:rFonts w:ascii="Arial" w:cs="Arial" w:eastAsia="Arial" w:hAnsi="Arial"/>
          <w:b/>
          <w:bCs/>
          <w:sz w:val="24"/>
          <w:szCs w:val="24"/>
        </w:rPr>
        <w:t xml:space="preserve">Глава 4. Риск-ориентированный подход при осуществлении проверки</w:t>
      </w:r>
    </w:p>
    <w:p>
      <w:pPr>
        <w:spacing w:after="60"/>
        <w:ind w:firstLine="567"/>
        <w:jc w:val="both"/>
      </w:pPr>
      <w:r>
        <w:rPr>
          <w:rFonts w:ascii="Arial" w:cs="Arial" w:eastAsia="Arial" w:hAnsi="Arial"/>
          <w:sz w:val="24"/>
          <w:szCs w:val="24"/>
        </w:rPr>
        <w:t xml:space="preserve">15. Проверяющие органы применяют риск-ориентированный подход при осуществлении проверки деятельности подконтрольных лиц.</w:t>
      </w:r>
    </w:p>
    <w:p>
      <w:pPr>
        <w:spacing w:after="60"/>
        <w:ind w:firstLine="567"/>
        <w:jc w:val="both"/>
      </w:pPr>
      <w:r>
        <w:rPr>
          <w:rFonts w:ascii="Arial" w:cs="Arial" w:eastAsia="Arial" w:hAnsi="Arial"/>
          <w:sz w:val="24"/>
          <w:szCs w:val="24"/>
        </w:rPr>
        <w:t xml:space="preserve">Целью риск-ориентированного подхода является выявление рисков, управление рисками и перераспределение имеющихся ресурсов (человеческие, технические и финансовые) проверяющих органов для осуществления проверки деятельности подконтрольных лиц, в первую очередь подверженных высокому риску.</w:t>
      </w:r>
    </w:p>
    <w:p>
      <w:pPr>
        <w:spacing w:after="60"/>
        <w:ind w:firstLine="567"/>
        <w:jc w:val="both"/>
      </w:pPr>
      <w:r>
        <w:rPr>
          <w:rFonts w:ascii="Arial" w:cs="Arial" w:eastAsia="Arial" w:hAnsi="Arial"/>
          <w:sz w:val="24"/>
          <w:szCs w:val="24"/>
        </w:rPr>
        <w:t xml:space="preserve">16. Для применения риск-ориентированного подхода проверяющие органы обеспечивают следующее:</w:t>
      </w:r>
    </w:p>
    <w:p>
      <w:pPr>
        <w:spacing w:after="60"/>
        <w:ind w:firstLine="567"/>
        <w:jc w:val="both"/>
      </w:pPr>
      <w:r>
        <w:rPr>
          <w:rFonts w:ascii="Arial" w:cs="Arial" w:eastAsia="Arial" w:hAnsi="Arial"/>
          <w:sz w:val="24"/>
          <w:szCs w:val="24"/>
        </w:rPr>
        <w:t xml:space="preserve">1) применяют риск-ориентированный подход на основе понимания рисков;</w:t>
      </w:r>
    </w:p>
    <w:p>
      <w:pPr>
        <w:spacing w:after="60"/>
        <w:ind w:firstLine="567"/>
        <w:jc w:val="both"/>
      </w:pPr>
      <w:r>
        <w:rPr>
          <w:rFonts w:ascii="Arial" w:cs="Arial" w:eastAsia="Arial" w:hAnsi="Arial"/>
          <w:sz w:val="24"/>
          <w:szCs w:val="24"/>
        </w:rPr>
        <w:t xml:space="preserve">2) разрабатывают и применяют критерии оценки рисков (по балльной системе), состоящие из следующих основных подразделов:</w:t>
      </w:r>
    </w:p>
    <w:p>
      <w:pPr>
        <w:spacing w:after="60"/>
        <w:ind w:firstLine="567"/>
        <w:jc w:val="both"/>
      </w:pPr>
      <w:r>
        <w:rPr>
          <w:rFonts w:ascii="Arial" w:cs="Arial" w:eastAsia="Arial" w:hAnsi="Arial"/>
          <w:sz w:val="24"/>
          <w:szCs w:val="24"/>
        </w:rPr>
        <w:t xml:space="preserve">- страновой или географический риск (риски, существующие в стране);</w:t>
      </w:r>
    </w:p>
    <w:p>
      <w:pPr>
        <w:spacing w:after="60"/>
        <w:ind w:firstLine="567"/>
        <w:jc w:val="both"/>
      </w:pPr>
      <w:r>
        <w:rPr>
          <w:rFonts w:ascii="Arial" w:cs="Arial" w:eastAsia="Arial" w:hAnsi="Arial"/>
          <w:sz w:val="24"/>
          <w:szCs w:val="24"/>
        </w:rPr>
        <w:t xml:space="preserve">- риск, связанный с подконтрольным лицом, определенный проверяющим органом по результатам оценки рисков;</w:t>
      </w:r>
    </w:p>
    <w:p>
      <w:pPr>
        <w:spacing w:after="60"/>
        <w:ind w:firstLine="567"/>
        <w:jc w:val="both"/>
      </w:pPr>
      <w:r>
        <w:rPr>
          <w:rFonts w:ascii="Arial" w:cs="Arial" w:eastAsia="Arial" w:hAnsi="Arial"/>
          <w:sz w:val="24"/>
          <w:szCs w:val="24"/>
        </w:rPr>
        <w:t xml:space="preserve">- риск, связанный с деятельностью или продукцией (услугами) подконтрольного лица (объем активов, клиентская база, спектр и механизм оказываемых услуг);</w:t>
      </w:r>
    </w:p>
    <w:p>
      <w:pPr>
        <w:spacing w:after="60"/>
        <w:ind w:firstLine="567"/>
        <w:jc w:val="both"/>
      </w:pPr>
      <w:r>
        <w:rPr>
          <w:rFonts w:ascii="Arial" w:cs="Arial" w:eastAsia="Arial" w:hAnsi="Arial"/>
          <w:sz w:val="24"/>
          <w:szCs w:val="24"/>
        </w:rPr>
        <w:t xml:space="preserve">3) проводят оценку рисков в деятельности подконтрольных лиц по истечении 3 лет со дня проведения предыдущей оценки рисков и составляют отчет о результатах оценки рисков и план действий по снижению выявленных рисков;</w:t>
      </w:r>
    </w:p>
    <w:p>
      <w:pPr>
        <w:spacing w:after="60"/>
        <w:ind w:firstLine="567"/>
        <w:jc w:val="both"/>
      </w:pPr>
      <w:r>
        <w:rPr>
          <w:rFonts w:ascii="Arial" w:cs="Arial" w:eastAsia="Arial" w:hAnsi="Arial"/>
          <w:sz w:val="24"/>
          <w:szCs w:val="24"/>
        </w:rPr>
        <w:t xml:space="preserve">4) отчет о результатах оценки рисков и план действий по снижению выявленных рисков подлежат обновлению в любое время согласно одному из факторов в соответствии с пунктом 44 Положения о порядке проведения оценки рисков финансирования преступной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17. Критерии оценки рисков должны регулярно пересматриваться в зависимости от развития ситуации и появления новых угроз и уязвимости.</w:t>
      </w:r>
    </w:p>
    <w:p>
      <w:pPr>
        <w:spacing w:after="60"/>
        <w:ind w:firstLine="567"/>
        <w:jc w:val="both"/>
      </w:pPr>
      <w:r>
        <w:rPr>
          <w:rFonts w:ascii="Arial" w:cs="Arial" w:eastAsia="Arial" w:hAnsi="Arial"/>
          <w:sz w:val="24"/>
          <w:szCs w:val="24"/>
        </w:rPr>
        <w:t xml:space="preserve">18. В зависимости от степени риска проверяющий орган определяет периодичность и уровень (упрощенный или углубленный) проведения проверки.</w:t>
      </w:r>
    </w:p>
    <w:p>
      <w:pPr>
        <w:spacing w:after="60"/>
        <w:ind w:firstLine="567"/>
        <w:jc w:val="both"/>
      </w:pPr>
      <w:r>
        <w:rPr>
          <w:rFonts w:ascii="Arial" w:cs="Arial" w:eastAsia="Arial" w:hAnsi="Arial"/>
          <w:sz w:val="24"/>
          <w:szCs w:val="24"/>
        </w:rPr>
        <w:t xml:space="preserve">Проверяющие органы разрабатывают и утверждают внутреннюю инструкцию по применению риск-ориентированного подхода при осуществлении проверки деятельности подконтрольных лиц.</w:t>
      </w:r>
    </w:p>
    <w:p>
      <w:pPr>
        <w:spacing w:after="60"/>
        <w:ind w:firstLine="567"/>
        <w:jc w:val="both"/>
      </w:pPr>
      <w:r>
        <w:rPr>
          <w:rFonts w:ascii="Arial" w:cs="Arial" w:eastAsia="Arial" w:hAnsi="Arial"/>
          <w:sz w:val="24"/>
          <w:szCs w:val="24"/>
        </w:rPr>
        <w:t xml:space="preserve">19. Национальный банк Кыргызской Республики при осуществлении надзорных функций обязан учитывать показатели Рейтинга банков по соблюдению требований ПФПД/ЛПД при определении периодичности и уровня (упрощенный или углубленный) проведения проверок в отношении банковских учреждений, применяя риск-ориентированный подход.</w:t>
      </w:r>
    </w:p>
    <w:p>
      <w:pPr>
        <w:spacing w:after="200" w:before="200"/>
        <w:jc w:val="center"/>
      </w:pPr>
      <w:r>
        <w:rPr>
          <w:rFonts w:ascii="Arial" w:cs="Arial" w:eastAsia="Arial" w:hAnsi="Arial"/>
          <w:b/>
          <w:bCs/>
          <w:sz w:val="24"/>
          <w:szCs w:val="24"/>
        </w:rPr>
        <w:t xml:space="preserve">Глава 5. Порядок проведения проверки</w:t>
      </w:r>
    </w:p>
    <w:p>
      <w:pPr>
        <w:spacing w:after="60"/>
        <w:ind w:firstLine="567"/>
        <w:jc w:val="both"/>
      </w:pPr>
      <w:r>
        <w:rPr>
          <w:rFonts w:ascii="Arial" w:cs="Arial" w:eastAsia="Arial" w:hAnsi="Arial"/>
          <w:sz w:val="24"/>
          <w:szCs w:val="24"/>
        </w:rPr>
        <w:t xml:space="preserve">20. В целях осуществления проверки деятельности подконтрольных лиц по вопросам исполнения законодательства Кыргызской Республики в сфере ПФПД/ЛПД проверяющие органы, в пределах своей компетенции, проводят мониторинг (дистанционный контроль) и (или) выездную проверку или инспектирование.</w:t>
      </w:r>
    </w:p>
    <w:p>
      <w:pPr>
        <w:spacing w:after="60"/>
        <w:ind w:firstLine="567"/>
        <w:jc w:val="both"/>
      </w:pPr>
      <w:r>
        <w:rPr>
          <w:rFonts w:ascii="Arial" w:cs="Arial" w:eastAsia="Arial" w:hAnsi="Arial"/>
          <w:sz w:val="24"/>
          <w:szCs w:val="24"/>
        </w:rPr>
        <w:t xml:space="preserve">21. Порядок проведения мониторинга (дистанционный контроль) деятельности подконтрольных лиц определяется проверяющим органом.</w:t>
      </w:r>
    </w:p>
    <w:p>
      <w:pPr>
        <w:spacing w:after="60"/>
        <w:ind w:firstLine="567"/>
        <w:jc w:val="both"/>
      </w:pPr>
      <w:r>
        <w:rPr>
          <w:rFonts w:ascii="Arial" w:cs="Arial" w:eastAsia="Arial" w:hAnsi="Arial"/>
          <w:sz w:val="24"/>
          <w:szCs w:val="24"/>
        </w:rPr>
        <w:t xml:space="preserve">22. Порядок проведения выездной проверки или инспектирования подконтрольных лиц определяется законодательством Кыргызской Республики в сфере проведения проверок или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Саморегулируемые организации осуществляют выездную проверку или инспектирование соответствующих подконтрольных лиц в порядке, устанавливаемом саморегулируемыми организациями.</w:t>
      </w:r>
    </w:p>
    <w:p>
      <w:pPr>
        <w:spacing w:after="60"/>
        <w:ind w:firstLine="567"/>
        <w:jc w:val="both"/>
      </w:pPr>
      <w:r>
        <w:rPr>
          <w:rFonts w:ascii="Arial" w:cs="Arial" w:eastAsia="Arial" w:hAnsi="Arial"/>
          <w:sz w:val="24"/>
          <w:szCs w:val="24"/>
        </w:rPr>
        <w:t xml:space="preserve">23. Уполномоченный государственный орган по связи и Министерство юстиции Кыргызской Республики осуществляют проверку деятельности подконтрольных лиц, указанных в пунктах 7 и 9 настоящего Положения, в рамках проведения проверок по исполнению отраслевого законодательства Кыргызской Республики.</w:t>
      </w:r>
    </w:p>
    <w:p>
      <w:pPr>
        <w:spacing w:after="60"/>
        <w:ind w:firstLine="567"/>
        <w:jc w:val="both"/>
      </w:pPr>
      <w:r>
        <w:rPr>
          <w:rFonts w:ascii="Arial" w:cs="Arial" w:eastAsia="Arial" w:hAnsi="Arial"/>
          <w:sz w:val="24"/>
          <w:szCs w:val="24"/>
        </w:rPr>
        <w:t xml:space="preserve">24. Проверяющие органы используют перечень типовых вопросов, согласованный с органом финансовой разведки в установленном порядке и составленный на основе законодательства Кыргызской Республики в сфере ПФПД/ЛПД, на которые собираются ответы в ходе проведения мониторинга (дистанционного контроля) и выездной проверки или инспектирования.</w:t>
      </w:r>
    </w:p>
    <w:p>
      <w:pPr>
        <w:spacing w:after="60"/>
        <w:ind w:firstLine="567"/>
        <w:jc w:val="both"/>
      </w:pPr>
      <w:r>
        <w:rPr>
          <w:rFonts w:ascii="Arial" w:cs="Arial" w:eastAsia="Arial" w:hAnsi="Arial"/>
          <w:sz w:val="24"/>
          <w:szCs w:val="24"/>
        </w:rPr>
        <w:t xml:space="preserve">25. В случае выявления нарушения законодательства Кыргызской Республики в сфере ПФПД/ЛПД, по результатам проведения мониторинга (дистанционного контроля) и выездной проверки или инспектирования должностным лицом, выявившим нарушение, составляется акт или протокол в двух экземплярах.</w:t>
      </w:r>
    </w:p>
    <w:p>
      <w:pPr>
        <w:spacing w:after="60"/>
        <w:ind w:firstLine="567"/>
        <w:jc w:val="both"/>
      </w:pPr>
      <w:r>
        <w:rPr>
          <w:rFonts w:ascii="Arial" w:cs="Arial" w:eastAsia="Arial" w:hAnsi="Arial"/>
          <w:sz w:val="24"/>
          <w:szCs w:val="24"/>
        </w:rPr>
        <w:t xml:space="preserve">В акте или протоколе должны содержаться сведения о существе выявленного нарушения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Акт или протокол подписывается должностным лицом, выявившим нарушение.</w:t>
      </w:r>
    </w:p>
    <w:p>
      <w:pPr>
        <w:spacing w:after="60"/>
        <w:ind w:firstLine="567"/>
        <w:jc w:val="both"/>
      </w:pPr>
      <w:r>
        <w:rPr>
          <w:rFonts w:ascii="Arial" w:cs="Arial" w:eastAsia="Arial" w:hAnsi="Arial"/>
          <w:sz w:val="24"/>
          <w:szCs w:val="24"/>
        </w:rPr>
        <w:t xml:space="preserve">Один экземпляр акта или протокола вручается руководителю финансового учреждения или нефинансовой категории лиц под подпись или направляется посредством почтовой связи в случае отказа руководителя финансового учреждения или нефинансовой категории лиц в подписании данного акта или протокола.</w:t>
      </w:r>
    </w:p>
    <w:p>
      <w:pPr>
        <w:spacing w:after="60"/>
        <w:ind w:firstLine="567"/>
        <w:jc w:val="both"/>
      </w:pPr>
      <w:r>
        <w:rPr>
          <w:rFonts w:ascii="Arial" w:cs="Arial" w:eastAsia="Arial" w:hAnsi="Arial"/>
          <w:sz w:val="24"/>
          <w:szCs w:val="24"/>
        </w:rPr>
        <w:t xml:space="preserve">Второй экземпляр акта или протокола направляется руководителю проверяющего органа.</w:t>
      </w:r>
    </w:p>
    <w:p>
      <w:pPr>
        <w:spacing w:after="60"/>
        <w:ind w:firstLine="567"/>
        <w:jc w:val="both"/>
      </w:pPr>
      <w:r>
        <w:rPr>
          <w:rFonts w:ascii="Arial" w:cs="Arial" w:eastAsia="Arial" w:hAnsi="Arial"/>
          <w:sz w:val="24"/>
          <w:szCs w:val="24"/>
        </w:rPr>
        <w:t xml:space="preserve">26. Проверяющие органы рассматривают вопрос о привлечении к ответственности лиц, допустивших нарушения законодательства Кыргызской Республики в сфере ПФПД/ЛПД, в соответствии с законодательством Кыргызской Республики о нарушениях или банковским законодательством Кыргызской Республики, а также законодательством Кыргызской Республики, регулирующим деятельность проверяющих органов.</w:t>
      </w:r>
    </w:p>
    <w:p>
      <w:pPr>
        <w:spacing w:after="60"/>
        <w:ind w:firstLine="567"/>
        <w:jc w:val="both"/>
      </w:pPr>
      <w:r>
        <w:rPr>
          <w:rFonts w:ascii="Arial" w:cs="Arial" w:eastAsia="Arial" w:hAnsi="Arial"/>
          <w:sz w:val="24"/>
          <w:szCs w:val="24"/>
        </w:rPr>
        <w:t xml:space="preserve">27. Проверка (мониторинг) устранения нарушений законодательства Кыргызской Республики в сфере ПФПД/ЛПД, выявленных по результатам проверки, осуществляется путем проведения контрольной проверки или дистанционного мониторинга в срок, установленный проверяющим органом.</w:t>
      </w:r>
    </w:p>
    <w:p>
      <w:pPr>
        <w:spacing w:after="200" w:before="200"/>
        <w:jc w:val="center"/>
      </w:pPr>
      <w:r>
        <w:rPr>
          <w:rFonts w:ascii="Arial" w:cs="Arial" w:eastAsia="Arial" w:hAnsi="Arial"/>
          <w:b/>
          <w:bCs/>
          <w:sz w:val="24"/>
          <w:szCs w:val="24"/>
        </w:rPr>
        <w:t xml:space="preserve">Глава 6. Взаимодействие проверяющих органов с органом финансовой разведки</w:t>
      </w:r>
    </w:p>
    <w:p>
      <w:pPr>
        <w:spacing w:after="60"/>
        <w:ind w:firstLine="567"/>
        <w:jc w:val="both"/>
      </w:pPr>
      <w:r>
        <w:rPr>
          <w:rFonts w:ascii="Arial" w:cs="Arial" w:eastAsia="Arial" w:hAnsi="Arial"/>
          <w:sz w:val="24"/>
          <w:szCs w:val="24"/>
        </w:rPr>
        <w:t xml:space="preserve">28. Координацию деятельности проверяющих органов осуществляет Комиссия по вопросам противодействия финансированию преступной деятельности и легализации (отмыванию) преступных доходов, действующая при Кабинете Министров Кыргызской Республики.</w:t>
      </w:r>
    </w:p>
    <w:p>
      <w:pPr>
        <w:spacing w:after="60"/>
        <w:ind w:firstLine="567"/>
        <w:jc w:val="both"/>
      </w:pPr>
      <w:r>
        <w:rPr>
          <w:rFonts w:ascii="Arial" w:cs="Arial" w:eastAsia="Arial" w:hAnsi="Arial"/>
          <w:sz w:val="24"/>
          <w:szCs w:val="24"/>
        </w:rPr>
        <w:t xml:space="preserve">29. Проверяющие органы определяют сотрудника или структурное подразделение, ответственных за взаимодействие с органом финансовой разведки.</w:t>
      </w:r>
    </w:p>
    <w:p>
      <w:pPr>
        <w:spacing w:after="60"/>
        <w:ind w:firstLine="567"/>
        <w:jc w:val="both"/>
      </w:pPr>
      <w:r>
        <w:rPr>
          <w:rFonts w:ascii="Arial" w:cs="Arial" w:eastAsia="Arial" w:hAnsi="Arial"/>
          <w:sz w:val="24"/>
          <w:szCs w:val="24"/>
        </w:rPr>
        <w:t xml:space="preserve">30. В целях организации проверки и повышения ее эффективности проверяющие органы осуществляют сотрудничество с органом финансовой разведки в следующих формах:</w:t>
      </w:r>
    </w:p>
    <w:p>
      <w:pPr>
        <w:spacing w:after="60"/>
        <w:ind w:firstLine="567"/>
        <w:jc w:val="both"/>
      </w:pPr>
      <w:r>
        <w:rPr>
          <w:rFonts w:ascii="Arial" w:cs="Arial" w:eastAsia="Arial" w:hAnsi="Arial"/>
          <w:sz w:val="24"/>
          <w:szCs w:val="24"/>
        </w:rPr>
        <w:t xml:space="preserve">1) ежегодно не позднее 15 января текущего года согласовывают с органом финансовой разведки типовой перечень вопросов, подлежащих проверке;</w:t>
      </w:r>
    </w:p>
    <w:p>
      <w:pPr>
        <w:spacing w:after="60"/>
        <w:ind w:firstLine="567"/>
        <w:jc w:val="both"/>
      </w:pPr>
      <w:r>
        <w:rPr>
          <w:rFonts w:ascii="Arial" w:cs="Arial" w:eastAsia="Arial" w:hAnsi="Arial"/>
          <w:sz w:val="24"/>
          <w:szCs w:val="24"/>
        </w:rPr>
        <w:t xml:space="preserve">2) за десять рабочих дней до начала проверки направляют запрос в орган финансовой разведки о предоставлении перечня вопросов, подлежащих проверке, и во время проведения проверки собирают информацию по вопросам, указанным в запросе органа финансовой разведки;</w:t>
      </w:r>
    </w:p>
    <w:p>
      <w:pPr>
        <w:spacing w:after="60"/>
        <w:ind w:firstLine="567"/>
        <w:jc w:val="both"/>
      </w:pPr>
      <w:r>
        <w:rPr>
          <w:rFonts w:ascii="Arial" w:cs="Arial" w:eastAsia="Arial" w:hAnsi="Arial"/>
          <w:sz w:val="24"/>
          <w:szCs w:val="24"/>
        </w:rPr>
        <w:t xml:space="preserve">3) направляют информацию в орган финансовой разведки в течение трех рабочих дней с момента выявления нарушения законодательства Кыргызской Республики в сфере ПФПД/ЛПД, если принятие решения по выявленному нарушению относится к компетенции органа финансовой разведки согласно законодательству Кыргызской Республики о нарушениях;</w:t>
      </w:r>
    </w:p>
    <w:p>
      <w:pPr>
        <w:spacing w:after="60"/>
        <w:ind w:firstLine="567"/>
        <w:jc w:val="both"/>
      </w:pPr>
      <w:r>
        <w:rPr>
          <w:rFonts w:ascii="Arial" w:cs="Arial" w:eastAsia="Arial" w:hAnsi="Arial"/>
          <w:sz w:val="24"/>
          <w:szCs w:val="24"/>
        </w:rPr>
        <w:t xml:space="preserve">4) при возникновении подозрений о том, что операции (сделки), осуществленные подконтрольными лицами, могут быть связаны с финансированием преступной деятельности и легализацией (отмыванием) преступных доходов, проверяющие органы в течение одного рабочего дня направляют сообщение об этом в орган финансовой разведки;</w:t>
      </w:r>
    </w:p>
    <w:p>
      <w:pPr>
        <w:spacing w:after="60"/>
        <w:ind w:firstLine="567"/>
        <w:jc w:val="both"/>
      </w:pPr>
      <w:r>
        <w:rPr>
          <w:rFonts w:ascii="Arial" w:cs="Arial" w:eastAsia="Arial" w:hAnsi="Arial"/>
          <w:sz w:val="24"/>
          <w:szCs w:val="24"/>
        </w:rPr>
        <w:t xml:space="preserve">5) направляют в орган финансовой разведки информацию о состоянии исполнения законодательства Кыргызской Республики в сфере ПФПД/ЛПД и информацию о правонарушениях в данной сфере (при обнаружении) не позднее десяти рабочих дней с момента завершения проверки;</w:t>
      </w:r>
    </w:p>
    <w:p>
      <w:pPr>
        <w:spacing w:after="60"/>
        <w:ind w:firstLine="567"/>
        <w:jc w:val="both"/>
      </w:pPr>
      <w:r>
        <w:rPr>
          <w:rFonts w:ascii="Arial" w:cs="Arial" w:eastAsia="Arial" w:hAnsi="Arial"/>
          <w:sz w:val="24"/>
          <w:szCs w:val="24"/>
        </w:rPr>
        <w:t xml:space="preserve">6) ежеквартально представляют в орган финансовой разведки обобщенную информацию о соблюдении соответствующими подконтрольными лицами требований законодательства Кыргызской Республики в сфере ПФПД/ЛПД, в том числе статистические данные (по форме, установленной органом финансовой разведки) о выявленных нарушениях и мерах, принятых для их устранения;</w:t>
      </w:r>
    </w:p>
    <w:p>
      <w:pPr>
        <w:spacing w:after="60"/>
        <w:ind w:firstLine="567"/>
        <w:jc w:val="both"/>
      </w:pPr>
      <w:r>
        <w:rPr>
          <w:rFonts w:ascii="Arial" w:cs="Arial" w:eastAsia="Arial" w:hAnsi="Arial"/>
          <w:sz w:val="24"/>
          <w:szCs w:val="24"/>
        </w:rPr>
        <w:t xml:space="preserve">7) согласовывают с органом финансовой разведки проекты нормативных правовых актов Кыргызской Республики о внесении изменений в законодательство Кыргызской Республики в сфере ПФПД/ЛПД.</w:t>
      </w:r>
    </w:p>
    <w:p>
      <w:pPr>
        <w:spacing w:after="60"/>
        <w:ind w:firstLine="567"/>
        <w:jc w:val="both"/>
      </w:pPr>
      <w:r>
        <w:rPr>
          <w:rFonts w:ascii="Arial" w:cs="Arial" w:eastAsia="Arial" w:hAnsi="Arial"/>
          <w:sz w:val="24"/>
          <w:szCs w:val="24"/>
        </w:rPr>
        <w:t xml:space="preserve">31. Орган финансовой разведки обращается в проверяющие органы с предложением о привлечении к ответственности подконтрольных лиц или их должностных лиц, о приостановлении или отзыве лицензий подконтрольных лиц за грубое и неоднократное нарушение требований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Проверяющие органы, рассмотрев обращение органа финансовой разведки, применяют соответствующие меры в отношении подконтрольных лиц в соответствии с банковским законодательством или законодательством о лицензионно-разрешительной системе Кыргызской Республики с последующим направлением уведомления о принятых мерах в орган финансовой разведки или с обоснованием причин отказа в принятии мер.</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32. Проверяющие органы в рамках проведения проверки руководствуются законодательством Кыргызской Республики в сфере ПФПД/ЛПД и решением органа финансовой разведки в сфере ПФПД/ЛПД.</w:t>
      </w:r>
    </w:p>
    <w:p>
      <w:pPr>
        <w:spacing w:after="60"/>
        <w:ind w:firstLine="567"/>
        <w:jc w:val="both"/>
      </w:pPr>
      <w:r>
        <w:rPr>
          <w:rFonts w:ascii="Arial" w:cs="Arial" w:eastAsia="Arial" w:hAnsi="Arial"/>
          <w:sz w:val="24"/>
          <w:szCs w:val="24"/>
        </w:rPr>
        <w:t xml:space="preserve">33. Проверяющие органы должны обеспечить, чтобы структурное подразделение или отдельные сотрудники, осуществляющие проверки:</w:t>
      </w:r>
    </w:p>
    <w:p>
      <w:pPr>
        <w:spacing w:after="60"/>
        <w:ind w:firstLine="567"/>
        <w:jc w:val="both"/>
      </w:pPr>
      <w:r>
        <w:rPr>
          <w:rFonts w:ascii="Arial" w:cs="Arial" w:eastAsia="Arial" w:hAnsi="Arial"/>
          <w:sz w:val="24"/>
          <w:szCs w:val="24"/>
        </w:rPr>
        <w:t xml:space="preserve">1) обладали достаточными и необходимыми ресурсами для качественного и эффективного проведения проверки;</w:t>
      </w:r>
    </w:p>
    <w:p>
      <w:pPr>
        <w:spacing w:after="60"/>
        <w:ind w:firstLine="567"/>
        <w:jc w:val="both"/>
      </w:pPr>
      <w:r>
        <w:rPr>
          <w:rFonts w:ascii="Arial" w:cs="Arial" w:eastAsia="Arial" w:hAnsi="Arial"/>
          <w:sz w:val="24"/>
          <w:szCs w:val="24"/>
        </w:rPr>
        <w:t xml:space="preserve">2) обладали оперативной независимостью и самостоятельностью для обеспечения свободы от ненадлежащего влияния или вмешательства;</w:t>
      </w:r>
    </w:p>
    <w:p>
      <w:pPr>
        <w:spacing w:after="60"/>
        <w:ind w:firstLine="567"/>
        <w:jc w:val="both"/>
      </w:pPr>
      <w:r>
        <w:rPr>
          <w:rFonts w:ascii="Arial" w:cs="Arial" w:eastAsia="Arial" w:hAnsi="Arial"/>
          <w:sz w:val="24"/>
          <w:szCs w:val="24"/>
        </w:rPr>
        <w:t xml:space="preserve">3) поддерживали высокие профессиональные стандарты, в том числе стандарты в отношении конфиденциальности и повышения квалификации.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xufywes_awxoolcjyzb">
      <w:r>
        <w:rPr>
          <w:rFonts w:ascii="Arial" w:cs="Arial" w:eastAsia="Arial" w:hAnsi="Arial"/>
          <w:color w:val="132D3F"/>
          <w:sz w:val="16"/>
          <w:szCs w:val="16"/>
          <w:u w:val="single"/>
        </w:rPr>
        <w:t xml:space="preserve">dalil.kg/document/230035192</w:t>
      </w:r>
    </w:hyperlink>
  </w:p>
  <w:p>
    <w:pPr>
      <w:spacing w:after="0" w:before="40"/>
      <w:jc w:val="center"/>
    </w:pPr>
    <w:hyperlink w:history="1" r:id="rIdmgtqsyue2hptvrfl8hpu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grhjzgo3rlzvc8lnbttk" Type="http://schemas.openxmlformats.org/officeDocument/2006/relationships/hyperlink" Target="https://dalil.kg/document/230035187" TargetMode="External"/><Relationship Id="rIdhp7brhfszbe9tx1rqpufo" Type="http://schemas.openxmlformats.org/officeDocument/2006/relationships/hyperlink" Target="https://dalil.kg/document/111822#st_5" TargetMode="External"/><Relationship Id="rIdw5w04fkaw7c60oszjnjtt" Type="http://schemas.openxmlformats.org/officeDocument/2006/relationships/hyperlink" Target="https://dalil.kg/document/230035192#g4" TargetMode="External"/><Relationship Id="rIdybzg195stwthydv9pz9z5" Type="http://schemas.openxmlformats.org/officeDocument/2006/relationships/hyperlink" Target="https://dalil.kg/document/230035192#g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xufywes_awxoolcjyzb" Type="http://schemas.openxmlformats.org/officeDocument/2006/relationships/hyperlink" Target="https://dalil.kg/document/230035192" TargetMode="External"/><Relationship Id="rIdmgtqsyue2hptvrfl8hpu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2026-09-25T20:26:41.383Z</dcterms:created>
  <dcterms:modified xsi:type="dcterms:W3CDTF">2026-09-25T20:26:41.383Z</dcterms:modified>
</cp:coreProperties>
</file>

<file path=docProps/custom.xml><?xml version="1.0" encoding="utf-8"?>
<Properties xmlns="http://schemas.openxmlformats.org/officeDocument/2006/custom-properties" xmlns:vt="http://schemas.openxmlformats.org/officeDocument/2006/docPropsVTypes"/>
</file>