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 декабря 2025 года УП № 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и реформированию системы регистрации транспортных средств и водительского состава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</w:t>
      </w:r>
      <w:r>
        <w:rPr>
          <w:rFonts w:ascii="Arial" w:cs="Arial" w:eastAsia="Arial" w:hAnsi="Arial"/>
          <w:sz w:val="24"/>
          <w:szCs w:val="24"/>
        </w:rPr>
        <w:t xml:space="preserve">улучшения материально-технической базы Государственного центра по регистрации транспортных средств и водительского состава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</w:t>
      </w:r>
      <w:r>
        <w:rPr>
          <w:rFonts w:ascii="Arial" w:cs="Arial" w:eastAsia="Arial" w:hAnsi="Arial"/>
          <w:sz w:val="24"/>
          <w:szCs w:val="24"/>
        </w:rPr>
        <w:t xml:space="preserve">риостановить</w:t>
      </w:r>
      <w:r>
        <w:rPr>
          <w:rFonts w:ascii="Arial" w:cs="Arial" w:eastAsia="Arial" w:hAnsi="Arial"/>
          <w:sz w:val="24"/>
          <w:szCs w:val="24"/>
        </w:rPr>
        <w:t xml:space="preserve">с 1 января по 31 декабря 2026 года следующие перечисления в республиканский бюджет: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реализации именных государственных регистрационных номерных знаков для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выдачи разрешений на тонирование боковых стекол передних дверей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реализации использованных и аннулированных государственных регистрационных номерных знаков.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указанные в пункте 1 настоящего Указа, с 1 января по 31 декабря 2026 года перечисляются на специальный счет Государственного центра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 контроль за целевым и эффективным использованием средств, указанных в пункте 1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zt2nbtdjbsggik-ef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dalil.kg/document/230035298</w:t>
      </w:r>
    </w:hyperlink>
  </w:p>
  <w:p>
    <w:pPr>
      <w:spacing w:after="0" w:before="40"/>
      <w:jc w:val="center"/>
    </w:pPr>
    <w:hyperlink w:history="1" r:id="rIdspctvoh82ywlrrcjklp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zt2nbtdjbsggik-efb7" Type="http://schemas.openxmlformats.org/officeDocument/2006/relationships/hyperlink" Target="https://dalil.kg/document/230035298" TargetMode="External"/><Relationship Id="rIdspctvoh82ywlrrcjklp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2026-09-27T06:04:09.285Z</dcterms:created>
  <dcterms:modified xsi:type="dcterms:W3CDTF">2026-09-27T06:04:09.285Z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