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360" w:before="200"/>
        <w:jc w:val="center"/>
      </w:pPr>
      <w:r>
        <w:rPr>
          <w:rFonts w:ascii="Arial" w:cs="Arial" w:eastAsia="Arial" w:hAnsi="Arial"/>
          <w:b/>
          <w:bCs/>
          <w:sz w:val="32"/>
          <w:szCs w:val="32"/>
        </w:rPr>
        <w:t xml:space="preserve">ПОСТАНОВЛЕНИЕ КАБИНЕТА МИНИСТРОВ КЫРГЫЗСКОЙ РЕСПУБЛИКИ</w:t>
      </w:r>
    </w:p>
    <w:p>
      <w:pPr>
        <w:spacing w:after="240"/>
        <w:jc w:val="both"/>
      </w:pPr>
      <w:r>
        <w:rPr>
          <w:rFonts w:ascii="Arial" w:cs="Arial" w:eastAsia="Arial" w:hAnsi="Arial"/>
          <w:sz w:val="24"/>
          <w:szCs w:val="24"/>
        </w:rPr>
        <w:t xml:space="preserve">от </w:t>
      </w:r>
      <w:r>
        <w:rPr>
          <w:rFonts w:ascii="Arial" w:cs="Arial" w:eastAsia="Arial" w:hAnsi="Arial"/>
          <w:sz w:val="24"/>
          <w:szCs w:val="24"/>
        </w:rPr>
        <w:t xml:space="preserve">25 ноября</w:t>
      </w:r>
      <w:r>
        <w:rPr>
          <w:rFonts w:ascii="Arial" w:cs="Arial" w:eastAsia="Arial" w:hAnsi="Arial"/>
          <w:sz w:val="24"/>
          <w:szCs w:val="24"/>
        </w:rPr>
        <w:t xml:space="preserve"> 202</w:t>
      </w:r>
      <w:r>
        <w:rPr>
          <w:rFonts w:ascii="Arial" w:cs="Arial" w:eastAsia="Arial" w:hAnsi="Arial"/>
          <w:sz w:val="24"/>
          <w:szCs w:val="24"/>
        </w:rPr>
        <w:t xml:space="preserve">5</w:t>
      </w:r>
      <w:r>
        <w:rPr>
          <w:rFonts w:ascii="Arial" w:cs="Arial" w:eastAsia="Arial" w:hAnsi="Arial"/>
          <w:sz w:val="24"/>
          <w:szCs w:val="24"/>
        </w:rPr>
        <w:t xml:space="preserve"> года № </w:t>
      </w:r>
      <w:r>
        <w:rPr>
          <w:rFonts w:ascii="Arial" w:cs="Arial" w:eastAsia="Arial" w:hAnsi="Arial"/>
          <w:sz w:val="24"/>
          <w:szCs w:val="24"/>
        </w:rPr>
        <w:t xml:space="preserve">758</w:t>
      </w:r>
    </w:p>
    <w:p>
      <w:pPr>
        <w:spacing w:after="240" w:before="200"/>
        <w:jc w:val="center"/>
      </w:pPr>
      <w:r>
        <w:rPr>
          <w:rFonts w:ascii="Arial" w:cs="Arial" w:eastAsia="Arial" w:hAnsi="Arial"/>
          <w:b/>
          <w:bCs/>
          <w:sz w:val="28"/>
          <w:szCs w:val="28"/>
        </w:rPr>
        <w:t xml:space="preserve">О внесении изменения в постановление</w:t>
      </w:r>
    </w:p>
    <w:p>
      <w:pPr>
        <w:spacing w:after="240" w:before="200"/>
        <w:jc w:val="center"/>
      </w:pPr>
      <w:r>
        <w:rPr>
          <w:rFonts w:ascii="Arial" w:cs="Arial" w:eastAsia="Arial" w:hAnsi="Arial"/>
          <w:b/>
          <w:bCs/>
          <w:sz w:val="28"/>
          <w:szCs w:val="28"/>
        </w:rPr>
        <w:t xml:space="preserve">Кабинета Министров Кыргызской Республики</w:t>
      </w:r>
    </w:p>
    <w:p>
      <w:pPr>
        <w:spacing w:after="240" w:before="200"/>
        <w:jc w:val="center"/>
      </w:pPr>
      <w:r>
        <w:rPr>
          <w:rFonts w:ascii="Arial" w:cs="Arial" w:eastAsia="Arial" w:hAnsi="Arial"/>
          <w:b/>
          <w:bCs/>
          <w:sz w:val="28"/>
          <w:szCs w:val="28"/>
        </w:rPr>
        <w:t xml:space="preserve">«Об утверждении ставок и Порядка начисления,</w:t>
      </w:r>
    </w:p>
    <w:p>
      <w:pPr>
        <w:spacing w:after="240" w:before="200"/>
        <w:jc w:val="center"/>
      </w:pPr>
      <w:r>
        <w:rPr>
          <w:rFonts w:ascii="Arial" w:cs="Arial" w:eastAsia="Arial" w:hAnsi="Arial"/>
          <w:b/>
          <w:bCs/>
          <w:sz w:val="28"/>
          <w:szCs w:val="28"/>
        </w:rPr>
        <w:t xml:space="preserve">уплаты сбора и взыскания задолженности по сбору за</w:t>
      </w:r>
    </w:p>
    <w:p>
      <w:pPr>
        <w:spacing w:after="240" w:before="200"/>
        <w:jc w:val="center"/>
      </w:pPr>
      <w:r>
        <w:rPr>
          <w:rFonts w:ascii="Arial" w:cs="Arial" w:eastAsia="Arial" w:hAnsi="Arial"/>
          <w:b/>
          <w:bCs/>
          <w:sz w:val="28"/>
          <w:szCs w:val="28"/>
        </w:rPr>
        <w:t xml:space="preserve">удержание лицензий на право пользования недрами»</w:t>
      </w:r>
    </w:p>
    <w:p>
      <w:pPr>
        <w:spacing w:after="240" w:before="200"/>
        <w:jc w:val="center"/>
      </w:pPr>
      <w:r>
        <w:rPr>
          <w:rFonts w:ascii="Arial" w:cs="Arial" w:eastAsia="Arial" w:hAnsi="Arial"/>
          <w:b/>
          <w:bCs/>
          <w:sz w:val="28"/>
          <w:szCs w:val="28"/>
        </w:rPr>
        <w:t xml:space="preserve">от 12 августа 2022 года № 449</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целях реализации статей </w:t>
      </w:r>
      <w:hyperlink w:history="1" r:id="rIdplzzyu3tlezc-0hld3x81">
        <w:r>
          <w:rPr>
            <w:rFonts w:ascii="Arial" w:cs="Arial" w:eastAsia="Arial" w:hAnsi="Arial"/>
            <w:color w:val="1D4ED8"/>
            <w:sz w:val="24"/>
            <w:szCs w:val="24"/>
            <w:u w:val="single"/>
          </w:rPr>
          <w:t xml:space="preserve">14</w:t>
        </w:r>
      </w:hyperlink>
      <w:r>
        <w:rPr>
          <w:rFonts w:ascii="Arial" w:cs="Arial" w:eastAsia="Arial" w:hAnsi="Arial"/>
          <w:sz w:val="24"/>
          <w:szCs w:val="24"/>
        </w:rPr>
        <w:t xml:space="preserve">, </w:t>
      </w:r>
      <w:hyperlink w:history="1" r:id="rId3_dhxnpua5cb3dfzfjip7">
        <w:r>
          <w:rPr>
            <w:rFonts w:ascii="Arial" w:cs="Arial" w:eastAsia="Arial" w:hAnsi="Arial"/>
            <w:color w:val="1D4ED8"/>
            <w:sz w:val="24"/>
            <w:szCs w:val="24"/>
            <w:u w:val="single"/>
          </w:rPr>
          <w:t xml:space="preserve">16</w:t>
        </w:r>
      </w:hyperlink>
      <w:r>
        <w:rPr>
          <w:rFonts w:ascii="Arial" w:cs="Arial" w:eastAsia="Arial" w:hAnsi="Arial"/>
          <w:sz w:val="24"/>
          <w:szCs w:val="24"/>
        </w:rPr>
        <w:t xml:space="preserve">, </w:t>
      </w:r>
      <w:hyperlink w:history="1" r:id="rIdlbbqao8ea2_ql9vycftfd">
        <w:r>
          <w:rPr>
            <w:rFonts w:ascii="Arial" w:cs="Arial" w:eastAsia="Arial" w:hAnsi="Arial"/>
            <w:color w:val="1D4ED8"/>
            <w:sz w:val="24"/>
            <w:szCs w:val="24"/>
            <w:u w:val="single"/>
          </w:rPr>
          <w:t xml:space="preserve">22</w:t>
        </w:r>
      </w:hyperlink>
      <w:r>
        <w:rPr>
          <w:rFonts w:ascii="Arial" w:cs="Arial" w:eastAsia="Arial" w:hAnsi="Arial"/>
          <w:sz w:val="24"/>
          <w:szCs w:val="24"/>
        </w:rPr>
        <w:t xml:space="preserve">, </w:t>
      </w:r>
      <w:hyperlink w:history="1" r:id="rIdsmj6c8tzgfm0z3oxx9iyx">
        <w:r>
          <w:rPr>
            <w:rFonts w:ascii="Arial" w:cs="Arial" w:eastAsia="Arial" w:hAnsi="Arial"/>
            <w:color w:val="1D4ED8"/>
            <w:sz w:val="24"/>
            <w:szCs w:val="24"/>
            <w:u w:val="single"/>
          </w:rPr>
          <w:t xml:space="preserve">26</w:t>
        </w:r>
      </w:hyperlink>
      <w:r>
        <w:rPr>
          <w:rFonts w:ascii="Arial" w:cs="Arial" w:eastAsia="Arial" w:hAnsi="Arial"/>
          <w:sz w:val="24"/>
          <w:szCs w:val="24"/>
        </w:rPr>
        <w:t xml:space="preserve">, </w:t>
      </w:r>
      <w:hyperlink w:history="1" r:id="rId9kjgq5r8-b1ocetj06hvv">
        <w:r>
          <w:rPr>
            <w:rFonts w:ascii="Arial" w:cs="Arial" w:eastAsia="Arial" w:hAnsi="Arial"/>
            <w:color w:val="1D4ED8"/>
            <w:sz w:val="24"/>
            <w:szCs w:val="24"/>
            <w:u w:val="single"/>
          </w:rPr>
          <w:t xml:space="preserve">29</w:t>
        </w:r>
      </w:hyperlink>
      <w:r>
        <w:rPr>
          <w:rFonts w:ascii="Arial" w:cs="Arial" w:eastAsia="Arial" w:hAnsi="Arial"/>
          <w:sz w:val="24"/>
          <w:szCs w:val="24"/>
        </w:rPr>
        <w:t xml:space="preserve"> и </w:t>
      </w:r>
      <w:hyperlink w:history="1" r:id="rIdzicuxoxec95iddvankdo6">
        <w:r>
          <w:rPr>
            <w:rFonts w:ascii="Arial" w:cs="Arial" w:eastAsia="Arial" w:hAnsi="Arial"/>
            <w:color w:val="1D4ED8"/>
            <w:sz w:val="24"/>
            <w:szCs w:val="24"/>
            <w:u w:val="single"/>
          </w:rPr>
          <w:t xml:space="preserve">39</w:t>
        </w:r>
      </w:hyperlink>
      <w:r>
        <w:rPr>
          <w:rFonts w:ascii="Arial" w:cs="Arial" w:eastAsia="Arial" w:hAnsi="Arial"/>
          <w:sz w:val="24"/>
          <w:szCs w:val="24"/>
        </w:rPr>
        <w:t xml:space="preserve"> Кодекса Кыргызской Республики о неналоговых доходах, в соответствии со статьями </w:t>
      </w:r>
      <w:hyperlink w:history="1" r:id="rIdgk7y6pf90mbnl3wpau2xu">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bzkufvwxra7fchub9d6e3">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Внести в </w:t>
      </w:r>
      <w:hyperlink w:history="1" r:id="rIdyj3i4dnl35ujebwvmyht3">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«Об утверждении ставок и </w:t>
      </w:r>
      <w:hyperlink w:history="1" r:id="rId_hl3qizuyguf3pzkd-7kq">
        <w:r>
          <w:rPr>
            <w:rFonts w:ascii="Arial" w:cs="Arial" w:eastAsia="Arial" w:hAnsi="Arial"/>
            <w:color w:val="1D4ED8"/>
            <w:sz w:val="24"/>
            <w:szCs w:val="24"/>
            <w:u w:val="single"/>
          </w:rPr>
          <w:t xml:space="preserve">Порядка</w:t>
        </w:r>
      </w:hyperlink>
      <w:r>
        <w:rPr>
          <w:rFonts w:ascii="Arial" w:cs="Arial" w:eastAsia="Arial" w:hAnsi="Arial"/>
          <w:sz w:val="24"/>
          <w:szCs w:val="24"/>
        </w:rPr>
        <w:t xml:space="preserve"> начисления, уплаты сбора и взыскания задолженности по сбору за удержание лицензий на право пользования недрами» от 12 августа 2022 года № 449 следующее изменение:</w:t>
      </w:r>
    </w:p>
    <w:p>
      <w:pPr>
        <w:spacing w:after="120"/>
        <w:ind w:firstLine="397"/>
        <w:jc w:val="both"/>
      </w:pPr>
      <w:hyperlink w:history="1" r:id="rIdslacezx1jcp9vx1e9p7kp">
        <w:r>
          <w:rPr>
            <w:rFonts w:ascii="Arial" w:cs="Arial" w:eastAsia="Arial" w:hAnsi="Arial"/>
            <w:color w:val="1D4ED8"/>
            <w:sz w:val="24"/>
            <w:szCs w:val="24"/>
            <w:u w:val="single"/>
          </w:rPr>
          <w:t xml:space="preserve">Порядок</w:t>
        </w:r>
      </w:hyperlink>
      <w:r>
        <w:rPr>
          <w:rFonts w:ascii="Arial" w:cs="Arial" w:eastAsia="Arial" w:hAnsi="Arial"/>
          <w:sz w:val="24"/>
          <w:szCs w:val="24"/>
        </w:rPr>
        <w:t xml:space="preserve"> начисления, уплаты сбора и взыскания задолженности по сбору за удержание лицензий на право пользования недрами, утвержденный вышеуказанным </w:t>
      </w:r>
      <w:hyperlink w:history="1" r:id="rIdvc5jjk2esvz3y-oqv44s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изложить в редакции согласно </w:t>
      </w:r>
      <w:r>
        <w:rPr>
          <w:rFonts w:ascii="Arial" w:cs="Arial" w:eastAsia="Arial" w:hAnsi="Arial"/>
          <w:sz w:val="24"/>
          <w:szCs w:val="24"/>
        </w:rPr>
        <w:t xml:space="preserve">приложению</w:t>
      </w:r>
      <w:r>
        <w:rPr>
          <w:rFonts w:ascii="Arial" w:cs="Arial" w:eastAsia="Arial" w:hAnsi="Arial"/>
          <w:sz w:val="24"/>
          <w:szCs w:val="24"/>
        </w:rPr>
        <w:t xml:space="preserve"> к настоящему постановлению. </w:t>
      </w:r>
    </w:p>
    <w:p>
      <w:pPr>
        <w:spacing w:after="120"/>
        <w:ind w:firstLine="397"/>
        <w:jc w:val="both"/>
      </w:pPr>
      <w:r>
        <w:rPr>
          <w:rFonts w:ascii="Arial" w:cs="Arial" w:eastAsia="Arial" w:hAnsi="Arial"/>
          <w:sz w:val="24"/>
          <w:szCs w:val="24"/>
        </w:rPr>
        <w:t xml:space="preserve">2. Министерству природных ресурсов, экологии и технического надзора Кыргызской Республики в течение месяца со дня вступления в силу настоящего постановления предоставить в Государственную налоговую службу при Кабинете Министров Кыргызской Республики список плательщиков по сбору за удержание лицензий на право пользования недрами по состоянию на 31 декабря 2025 года с указанием сальдо (переплаты, задолженности) и суммы обязательств за 2025 год. </w:t>
      </w:r>
    </w:p>
    <w:p>
      <w:pPr>
        <w:spacing w:after="120"/>
        <w:ind w:firstLine="397"/>
        <w:jc w:val="both"/>
      </w:pPr>
      <w:r>
        <w:rPr>
          <w:rFonts w:ascii="Arial" w:cs="Arial" w:eastAsia="Arial" w:hAnsi="Arial"/>
          <w:sz w:val="24"/>
          <w:szCs w:val="24"/>
        </w:rPr>
        <w:t xml:space="preserve">3.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w:t>
      </w:r>
    </w:p>
    <w:p>
      <w:pPr>
        <w:spacing w:after="120"/>
        <w:ind w:firstLine="397"/>
        <w:jc w:val="both"/>
      </w:pPr>
      <w:r>
        <w:rPr>
          <w:rFonts w:ascii="Arial" w:cs="Arial" w:eastAsia="Arial" w:hAnsi="Arial"/>
          <w:sz w:val="24"/>
          <w:szCs w:val="24"/>
        </w:rPr>
        <w:t xml:space="preserve">4. Настоящее постановление вступает в силу по истечении десяти дней со дня официального опубликования.</w:t>
      </w:r>
    </w:p>
    <w:p>
      <w:pPr>
        <w:spacing w:after="120"/>
        <w:ind w:firstLine="397"/>
        <w:jc w:val="both"/>
      </w:pPr>
      <w:r>
        <w:rPr>
          <w:rFonts w:ascii="Arial" w:cs="Arial" w:eastAsia="Arial" w:hAnsi="Arial"/>
          <w:i/>
          <w:iCs/>
          <w:sz w:val="24"/>
          <w:szCs w:val="24"/>
        </w:rPr>
        <w:t xml:space="preserve">Опубликовано в официальной государственной газете «Эркин-Тоо» от 28 ноября 2025 года № 94 (3751)</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sz w:val="24"/>
          <w:szCs w:val="24"/>
        </w:rPr>
        <w:t xml:space="preserve">А.А. Касымалиев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«Порядок</w:t>
      </w:r>
    </w:p>
    <w:p>
      <w:pPr>
        <w:spacing w:after="240" w:before="200"/>
        <w:jc w:val="center"/>
      </w:pPr>
      <w:r>
        <w:rPr>
          <w:rFonts w:ascii="Arial" w:cs="Arial" w:eastAsia="Arial" w:hAnsi="Arial"/>
          <w:b/>
          <w:bCs/>
          <w:sz w:val="32"/>
          <w:szCs w:val="32"/>
        </w:rPr>
        <w:t xml:space="preserve">начисления, уплаты сбора и взыскания задолженности по</w:t>
      </w:r>
    </w:p>
    <w:p>
      <w:pPr>
        <w:spacing w:after="240" w:before="200"/>
        <w:jc w:val="center"/>
      </w:pPr>
      <w:r>
        <w:rPr>
          <w:rFonts w:ascii="Arial" w:cs="Arial" w:eastAsia="Arial" w:hAnsi="Arial"/>
          <w:b/>
          <w:bCs/>
          <w:sz w:val="32"/>
          <w:szCs w:val="32"/>
        </w:rPr>
        <w:t xml:space="preserve">сбору за удержание лицензий на право пользования</w:t>
      </w:r>
    </w:p>
    <w:p>
      <w:pPr>
        <w:spacing w:after="240" w:before="200"/>
        <w:jc w:val="center"/>
      </w:pPr>
      <w:r>
        <w:rPr>
          <w:rFonts w:ascii="Arial" w:cs="Arial" w:eastAsia="Arial" w:hAnsi="Arial"/>
          <w:b/>
          <w:bCs/>
          <w:sz w:val="32"/>
          <w:szCs w:val="32"/>
        </w:rPr>
        <w:t xml:space="preserve">недрами</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1. Общие положения</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Порядок начисления, уплаты сбора и взыскания задолженности по сбору за удержание лицензии на право пользования недрами (далее - Порядок) определяет условия начисления, порядок заполнения и предоставления расчетов, отчетов, уплаты сбора и взыскания задолженности по сбору за удержание лицензии на право пользования недрами.</w:t>
      </w:r>
    </w:p>
    <w:p>
      <w:pPr>
        <w:spacing w:after="120"/>
        <w:ind w:firstLine="397"/>
        <w:jc w:val="both"/>
      </w:pPr>
      <w:r>
        <w:rPr>
          <w:rFonts w:ascii="Arial" w:cs="Arial" w:eastAsia="Arial" w:hAnsi="Arial"/>
          <w:sz w:val="24"/>
          <w:szCs w:val="24"/>
        </w:rPr>
        <w:t xml:space="preserve">2. В настоящем Порядке используются следующие термины:</w:t>
      </w:r>
    </w:p>
    <w:p>
      <w:pPr>
        <w:spacing w:after="120"/>
        <w:ind w:firstLine="397"/>
        <w:jc w:val="both"/>
      </w:pPr>
      <w:r>
        <w:rPr>
          <w:rFonts w:ascii="Arial" w:cs="Arial" w:eastAsia="Arial" w:hAnsi="Arial"/>
          <w:sz w:val="24"/>
          <w:szCs w:val="24"/>
        </w:rPr>
        <w:t xml:space="preserve">1) восстановление действия лицензии на право пользования недрами - процедура по восстановлению действия ранее аннулированной лицензии на право пользования недрами на основании признания недействительным прекращения (аннулирования) права пользования недрами в рамках </w:t>
      </w:r>
      <w:hyperlink w:history="1" r:id="rIdbwevhfz_tqek7y6k0dkpl">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 или решения судебного органа;</w:t>
      </w:r>
    </w:p>
    <w:p>
      <w:pPr>
        <w:spacing w:after="120"/>
        <w:ind w:firstLine="397"/>
        <w:jc w:val="both"/>
      </w:pPr>
      <w:r>
        <w:rPr>
          <w:rFonts w:ascii="Arial" w:cs="Arial" w:eastAsia="Arial" w:hAnsi="Arial"/>
          <w:sz w:val="24"/>
          <w:szCs w:val="24"/>
        </w:rPr>
        <w:t xml:space="preserve">2) плательщик - юридическое или физическое лицо, владеющее и осуществляющее пользование лицензией на право пользования недрами;</w:t>
      </w:r>
    </w:p>
    <w:p>
      <w:pPr>
        <w:spacing w:after="120"/>
        <w:ind w:firstLine="397"/>
        <w:jc w:val="both"/>
      </w:pPr>
      <w:r>
        <w:rPr>
          <w:rFonts w:ascii="Arial" w:cs="Arial" w:eastAsia="Arial" w:hAnsi="Arial"/>
          <w:sz w:val="24"/>
          <w:szCs w:val="24"/>
        </w:rPr>
        <w:t xml:space="preserve">3) сбор за удержание лицензии на право пользования недрами (далее - сбор) - взнос, подлежащий уплате владельцем (плательщиком) лицензии на право пользования недрами;</w:t>
      </w:r>
    </w:p>
    <w:p>
      <w:pPr>
        <w:spacing w:after="120"/>
        <w:ind w:firstLine="397"/>
        <w:jc w:val="both"/>
      </w:pPr>
      <w:r>
        <w:rPr>
          <w:rFonts w:ascii="Arial" w:cs="Arial" w:eastAsia="Arial" w:hAnsi="Arial"/>
          <w:sz w:val="24"/>
          <w:szCs w:val="24"/>
        </w:rPr>
        <w:t xml:space="preserve">4) расчет сбора за удержание лицензии на право пользования недрами - начисление и/или перерасчет суммы сбора за удержание лицензии на право пользования недрами;</w:t>
      </w:r>
    </w:p>
    <w:p>
      <w:pPr>
        <w:spacing w:after="120"/>
        <w:ind w:firstLine="397"/>
        <w:jc w:val="both"/>
      </w:pPr>
      <w:r>
        <w:rPr>
          <w:rFonts w:ascii="Arial" w:cs="Arial" w:eastAsia="Arial" w:hAnsi="Arial"/>
          <w:sz w:val="24"/>
          <w:szCs w:val="24"/>
        </w:rPr>
        <w:t xml:space="preserve">5) пользование лицензией на право пользования недрами - владение и пользование лицензией на право пользования недрами, включая работы по извлечению полезных ископаемых из техногенных образований, в том числе периоды составления технической документации, проведения по ней экспертиз и получения экспертных заключений в части экологической, промышленной безопасности, охраны недр, получения согласия владельца земельных прав либо получения земельного отвода и использования определенного участка недр;</w:t>
      </w:r>
    </w:p>
    <w:p>
      <w:pPr>
        <w:spacing w:after="120"/>
        <w:ind w:firstLine="397"/>
        <w:jc w:val="both"/>
      </w:pPr>
      <w:r>
        <w:rPr>
          <w:rFonts w:ascii="Arial" w:cs="Arial" w:eastAsia="Arial" w:hAnsi="Arial"/>
          <w:sz w:val="24"/>
          <w:szCs w:val="24"/>
        </w:rPr>
        <w:t xml:space="preserve">6) обстоятельство непреодолимой силы (форс-мажор) - возникновение чрезвычайных и неотвратимых обстоятельств в результате стихийных бедствий, таких как землетрясения, наводнения или блокады, войны, забастовки, и иных обстоятельств, которые невозможно предусмотреть или предотвратить, либо возможно предусмотреть, но невозможно предотвратить.</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2. Основания сбора</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 Сбор подлежит уплате плательщиком, владеющим лицензией на право пользования недрами с целью поиска и/или разведки, и/или разработки месторождений полезных ископаемых в Кыргызской Республике.</w:t>
      </w:r>
    </w:p>
    <w:p>
      <w:pPr>
        <w:spacing w:after="120"/>
        <w:ind w:firstLine="397"/>
        <w:jc w:val="both"/>
      </w:pPr>
      <w:r>
        <w:rPr>
          <w:rFonts w:ascii="Arial" w:cs="Arial" w:eastAsia="Arial" w:hAnsi="Arial"/>
          <w:sz w:val="24"/>
          <w:szCs w:val="24"/>
        </w:rPr>
        <w:t xml:space="preserve">4. Объектом обложения сбором является пользование лицензией на право пользования недрами в пределах лицензионной площади по определенным видам полезных ископаемых.</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 Порядок исчисления, расчета, перерасчета</w:t>
      </w:r>
    </w:p>
    <w:p>
      <w:pPr>
        <w:spacing w:after="240" w:before="200"/>
        <w:jc w:val="center"/>
      </w:pPr>
      <w:r>
        <w:rPr>
          <w:rFonts w:ascii="Arial" w:cs="Arial" w:eastAsia="Arial" w:hAnsi="Arial"/>
          <w:b/>
          <w:bCs/>
          <w:sz w:val="32"/>
          <w:szCs w:val="32"/>
        </w:rPr>
        <w:t xml:space="preserve">сбора</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 Базой для исчисления сбора при поиске и/или разведке, и/или разработке месторождений полезных ископаемых является размер лицензионной площади.</w:t>
      </w:r>
    </w:p>
    <w:p>
      <w:pPr>
        <w:spacing w:after="120"/>
        <w:ind w:firstLine="397"/>
        <w:jc w:val="both"/>
      </w:pPr>
      <w:r>
        <w:rPr>
          <w:rFonts w:ascii="Arial" w:cs="Arial" w:eastAsia="Arial" w:hAnsi="Arial"/>
          <w:sz w:val="24"/>
          <w:szCs w:val="24"/>
        </w:rPr>
        <w:t xml:space="preserve">Правильность исчисления расчета и отчета, а также перерасчета сбора за удержание лицензий возлагается на уполномоченный государственный орган по реализации государственной политики по недропользованию (далее - УГО по недропользованию).</w:t>
      </w:r>
    </w:p>
    <w:p>
      <w:pPr>
        <w:spacing w:after="120"/>
        <w:ind w:firstLine="397"/>
        <w:jc w:val="both"/>
      </w:pPr>
      <w:r>
        <w:rPr>
          <w:rFonts w:ascii="Arial" w:cs="Arial" w:eastAsia="Arial" w:hAnsi="Arial"/>
          <w:sz w:val="24"/>
          <w:szCs w:val="24"/>
        </w:rPr>
        <w:t xml:space="preserve">В случаях принятия решения УГО по недропользованию, приводящего к изменению суммы обязательства, плательщик сбора обязан предоставить уточненный отчет/расчет через кабинет налогоплательщика (далее - КН) в территориальный налоговый орган по месту нахождения лицензионной площади.</w:t>
      </w:r>
    </w:p>
    <w:p>
      <w:pPr>
        <w:spacing w:after="120"/>
        <w:ind w:firstLine="397"/>
        <w:jc w:val="both"/>
      </w:pPr>
      <w:r>
        <w:rPr>
          <w:rFonts w:ascii="Arial" w:cs="Arial" w:eastAsia="Arial" w:hAnsi="Arial"/>
          <w:sz w:val="24"/>
          <w:szCs w:val="24"/>
        </w:rPr>
        <w:t xml:space="preserve">6. При пользовании недрами с целью разработки после выхода на проектную мощность сбор не уплачивается, если годовой объем добычи полезного ископаемого, установленного лицензионным соглашением, выполнен не менее чем на 90 процентов.</w:t>
      </w:r>
    </w:p>
    <w:p>
      <w:pPr>
        <w:spacing w:after="120"/>
        <w:ind w:firstLine="397"/>
        <w:jc w:val="both"/>
      </w:pPr>
      <w:r>
        <w:rPr>
          <w:rFonts w:ascii="Arial" w:cs="Arial" w:eastAsia="Arial" w:hAnsi="Arial"/>
          <w:sz w:val="24"/>
          <w:szCs w:val="24"/>
        </w:rPr>
        <w:t xml:space="preserve">7. Расчет сбора производится плательщиком самостоятельно в соответствии с размером лицензионной площади, ставкой по виду полезного ископаемого, датой выдачи лицензии на право пользования недрами и периодом пользования недрами и согласовывается с УГО по недропользованию.</w:t>
      </w:r>
    </w:p>
    <w:p>
      <w:pPr>
        <w:spacing w:after="120"/>
        <w:ind w:firstLine="397"/>
        <w:jc w:val="both"/>
      </w:pPr>
      <w:r>
        <w:rPr>
          <w:rFonts w:ascii="Arial" w:cs="Arial" w:eastAsia="Arial" w:hAnsi="Arial"/>
          <w:sz w:val="24"/>
          <w:szCs w:val="24"/>
        </w:rPr>
        <w:t xml:space="preserve">При поиске, разведке и разработке (на стадии проектирования) месторождений полезных ископаемых плательщик производит расчет сбора за текущий год и согласовывает с УГО по недропользованию по форме (</w:t>
      </w:r>
      <w:hyperlink w:history="1" r:id="rIdwwtzkyoy4metet0gjxwkz">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к настоящему Порядку) не позднее 1 марта текущего года.</w:t>
      </w:r>
    </w:p>
    <w:p>
      <w:pPr>
        <w:spacing w:after="120"/>
        <w:ind w:firstLine="397"/>
        <w:jc w:val="both"/>
      </w:pPr>
      <w:r>
        <w:rPr>
          <w:rFonts w:ascii="Arial" w:cs="Arial" w:eastAsia="Arial" w:hAnsi="Arial"/>
          <w:sz w:val="24"/>
          <w:szCs w:val="24"/>
        </w:rPr>
        <w:t xml:space="preserve">Согласованный с УГО по недропользованию расчет сбора за текущий год представляется через КН в территориальный налоговый орган по месту нахождения лицензионной площади не позднее 30 календарных дней по форме (</w:t>
      </w:r>
      <w:hyperlink w:history="1" r:id="rId162yalww8mfsxvh3fjzld">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к настоящему Порядку) и в порядке заполнения (глава 6 настоящего Порядка).</w:t>
      </w:r>
    </w:p>
    <w:p>
      <w:pPr>
        <w:spacing w:after="120"/>
        <w:ind w:firstLine="397"/>
        <w:jc w:val="both"/>
      </w:pPr>
      <w:r>
        <w:rPr>
          <w:rFonts w:ascii="Arial" w:cs="Arial" w:eastAsia="Arial" w:hAnsi="Arial"/>
          <w:sz w:val="24"/>
          <w:szCs w:val="24"/>
        </w:rPr>
        <w:t xml:space="preserve">При разработке (на стадии проведения работ) месторождений полезных ископаемых составляется отчет сбора за отчетный год и согласовывается с УГО по недропользованию по форме (</w:t>
      </w:r>
      <w:hyperlink w:history="1" r:id="rIdxpqatfjnmwpq_e9avszlb">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 к настоящему Порядку) до 31 января текущего года.</w:t>
      </w:r>
    </w:p>
    <w:p>
      <w:pPr>
        <w:spacing w:after="120"/>
        <w:ind w:firstLine="397"/>
        <w:jc w:val="both"/>
      </w:pPr>
      <w:r>
        <w:rPr>
          <w:rFonts w:ascii="Arial" w:cs="Arial" w:eastAsia="Arial" w:hAnsi="Arial"/>
          <w:sz w:val="24"/>
          <w:szCs w:val="24"/>
        </w:rPr>
        <w:t xml:space="preserve">Согласованный с УГО по недропользованию отчет сбора представляется через КН в территориальный налоговый орган по месту нахождения лицензионной площади не позднее 30 календарных дней по форме (</w:t>
      </w:r>
      <w:hyperlink w:history="1" r:id="rId404k67tf8_ebv_sos58na">
        <w:r>
          <w:rPr>
            <w:rFonts w:ascii="Arial" w:cs="Arial" w:eastAsia="Arial" w:hAnsi="Arial"/>
            <w:color w:val="1D4ED8"/>
            <w:sz w:val="24"/>
            <w:szCs w:val="24"/>
            <w:u w:val="single"/>
          </w:rPr>
          <w:t xml:space="preserve">приложение 4</w:t>
        </w:r>
      </w:hyperlink>
      <w:r>
        <w:rPr>
          <w:rFonts w:ascii="Arial" w:cs="Arial" w:eastAsia="Arial" w:hAnsi="Arial"/>
          <w:sz w:val="24"/>
          <w:szCs w:val="24"/>
        </w:rPr>
        <w:t xml:space="preserve"> к настоящему Порядку) и в порядке заполнения (</w:t>
      </w:r>
      <w:hyperlink w:history="1" r:id="rIdgwb4gkvlx86sb_m0vbnwq">
        <w:r>
          <w:rPr>
            <w:rFonts w:ascii="Arial" w:cs="Arial" w:eastAsia="Arial" w:hAnsi="Arial"/>
            <w:color w:val="1D4ED8"/>
            <w:sz w:val="24"/>
            <w:szCs w:val="24"/>
            <w:u w:val="single"/>
          </w:rPr>
          <w:t xml:space="preserve">глава 7</w:t>
        </w:r>
      </w:hyperlink>
      <w:r>
        <w:rPr>
          <w:rFonts w:ascii="Arial" w:cs="Arial" w:eastAsia="Arial" w:hAnsi="Arial"/>
          <w:sz w:val="24"/>
          <w:szCs w:val="24"/>
        </w:rPr>
        <w:t xml:space="preserve"> настоящего Порядка).</w:t>
      </w:r>
    </w:p>
    <w:p>
      <w:pPr>
        <w:spacing w:after="120"/>
        <w:ind w:firstLine="397"/>
        <w:jc w:val="both"/>
      </w:pPr>
      <w:r>
        <w:rPr>
          <w:rFonts w:ascii="Arial" w:cs="Arial" w:eastAsia="Arial" w:hAnsi="Arial"/>
          <w:sz w:val="24"/>
          <w:szCs w:val="24"/>
        </w:rPr>
        <w:t xml:space="preserve">8. Расчет сбора производится по каждой административно-территориальной единице, на территории которой находится лицензионная площадь.</w:t>
      </w:r>
    </w:p>
    <w:p>
      <w:pPr>
        <w:spacing w:after="120"/>
        <w:ind w:firstLine="397"/>
        <w:jc w:val="both"/>
      </w:pPr>
      <w:r>
        <w:rPr>
          <w:rFonts w:ascii="Arial" w:cs="Arial" w:eastAsia="Arial" w:hAnsi="Arial"/>
          <w:sz w:val="24"/>
          <w:szCs w:val="24"/>
        </w:rPr>
        <w:t xml:space="preserve">9. В случае если на одной лицензионной площади плательщик занимается поиском и/или разведкой, и/или разработкой двух и более видов полезных ископаемых, размер сбора определяется только по одному виду полезного ископаемого, размер сбора по которому при произведении расчетов будет наибольшим по отношению к другим видам полезных ископаемых.</w:t>
      </w:r>
    </w:p>
    <w:p>
      <w:pPr>
        <w:spacing w:after="120"/>
        <w:ind w:firstLine="397"/>
        <w:jc w:val="both"/>
      </w:pPr>
      <w:r>
        <w:rPr>
          <w:rFonts w:ascii="Arial" w:cs="Arial" w:eastAsia="Arial" w:hAnsi="Arial"/>
          <w:sz w:val="24"/>
          <w:szCs w:val="24"/>
        </w:rPr>
        <w:t xml:space="preserve">10. После получения лицензии на право пользования недрами, плательщик в течение 30 календарных дней обязан представить в УГО по недропользованию справку о точных границах и площади айылных аймаков, входящих в состав лицензионной площади, выдаваемую уполномоченным государственным органом по землеустройству.</w:t>
      </w:r>
    </w:p>
    <w:p>
      <w:pPr>
        <w:spacing w:after="120"/>
        <w:ind w:firstLine="397"/>
        <w:jc w:val="both"/>
      </w:pPr>
      <w:r>
        <w:rPr>
          <w:rFonts w:ascii="Arial" w:cs="Arial" w:eastAsia="Arial" w:hAnsi="Arial"/>
          <w:sz w:val="24"/>
          <w:szCs w:val="24"/>
        </w:rPr>
        <w:t xml:space="preserve">В случае, если в установленные сроки уполномоченным государственным органом по землеустройству не установлены точные границы и площади айылных аймаков, входящих в состав лицензионной площади, то сбор уплачивается в республиканский бюджет в течение 30 календарных дней со дня завершения срока, установленного для предоставления ответа вышеуказанным органом относительно точных границ и площадей айылных аймаков.</w:t>
      </w:r>
    </w:p>
    <w:p>
      <w:pPr>
        <w:spacing w:after="120"/>
        <w:ind w:firstLine="397"/>
        <w:jc w:val="both"/>
      </w:pPr>
      <w:r>
        <w:rPr>
          <w:rFonts w:ascii="Arial" w:cs="Arial" w:eastAsia="Arial" w:hAnsi="Arial"/>
          <w:sz w:val="24"/>
          <w:szCs w:val="24"/>
        </w:rPr>
        <w:t xml:space="preserve">11. Плательщик после получения справки уполномоченного государственного органа по землеустройству должен в течение 15 календарных дней пройти учетную регистрацию в территориальном налоговом органе по месту нахождения лицензионных площадей, произвести расчет сбора (4 экземпляра) и направить:</w:t>
      </w:r>
    </w:p>
    <w:p>
      <w:pPr>
        <w:spacing w:after="120"/>
        <w:ind w:firstLine="397"/>
        <w:jc w:val="both"/>
      </w:pPr>
      <w:r>
        <w:rPr>
          <w:rFonts w:ascii="Arial" w:cs="Arial" w:eastAsia="Arial" w:hAnsi="Arial"/>
          <w:sz w:val="24"/>
          <w:szCs w:val="24"/>
        </w:rPr>
        <w:t xml:space="preserve">- один экземпляр - в уполномоченный государственный орган по недропользованию;</w:t>
      </w:r>
    </w:p>
    <w:p>
      <w:pPr>
        <w:spacing w:after="120"/>
        <w:ind w:firstLine="397"/>
        <w:jc w:val="both"/>
      </w:pPr>
      <w:r>
        <w:rPr>
          <w:rFonts w:ascii="Arial" w:cs="Arial" w:eastAsia="Arial" w:hAnsi="Arial"/>
          <w:sz w:val="24"/>
          <w:szCs w:val="24"/>
        </w:rPr>
        <w:t xml:space="preserve">- второй экземпляр - соответствующему органу местного самоуправления;</w:t>
      </w:r>
    </w:p>
    <w:p>
      <w:pPr>
        <w:spacing w:after="120"/>
        <w:ind w:firstLine="397"/>
        <w:jc w:val="both"/>
      </w:pPr>
      <w:r>
        <w:rPr>
          <w:rFonts w:ascii="Arial" w:cs="Arial" w:eastAsia="Arial" w:hAnsi="Arial"/>
          <w:sz w:val="24"/>
          <w:szCs w:val="24"/>
        </w:rPr>
        <w:t xml:space="preserve">- третий экземпляр - в органы налоговой службы;</w:t>
      </w:r>
    </w:p>
    <w:p>
      <w:pPr>
        <w:spacing w:after="120"/>
        <w:ind w:firstLine="397"/>
        <w:jc w:val="both"/>
      </w:pPr>
      <w:r>
        <w:rPr>
          <w:rFonts w:ascii="Arial" w:cs="Arial" w:eastAsia="Arial" w:hAnsi="Arial"/>
          <w:sz w:val="24"/>
          <w:szCs w:val="24"/>
        </w:rPr>
        <w:t xml:space="preserve">- четвертый экземпляр остается у плательщика.</w:t>
      </w:r>
    </w:p>
    <w:p>
      <w:pPr>
        <w:spacing w:after="120"/>
        <w:ind w:firstLine="397"/>
        <w:jc w:val="both"/>
      </w:pPr>
      <w:r>
        <w:rPr>
          <w:rFonts w:ascii="Arial" w:cs="Arial" w:eastAsia="Arial" w:hAnsi="Arial"/>
          <w:sz w:val="24"/>
          <w:szCs w:val="24"/>
        </w:rPr>
        <w:t xml:space="preserve">12. Плательщик обязан согласно пунктам </w:t>
      </w:r>
      <w:hyperlink w:history="1" r:id="rIdotyusfimvhb_ssto0fxdg">
        <w:r>
          <w:rPr>
            <w:rFonts w:ascii="Arial" w:cs="Arial" w:eastAsia="Arial" w:hAnsi="Arial"/>
            <w:color w:val="1D4ED8"/>
            <w:sz w:val="24"/>
            <w:szCs w:val="24"/>
            <w:u w:val="single"/>
          </w:rPr>
          <w:t xml:space="preserve">7</w:t>
        </w:r>
      </w:hyperlink>
      <w:r>
        <w:rPr>
          <w:rFonts w:ascii="Arial" w:cs="Arial" w:eastAsia="Arial" w:hAnsi="Arial"/>
          <w:sz w:val="24"/>
          <w:szCs w:val="24"/>
        </w:rPr>
        <w:t xml:space="preserve"> и </w:t>
      </w:r>
      <w:hyperlink w:history="1" r:id="rIdlj7oizv0przxmwfzfk7zt">
        <w:r>
          <w:rPr>
            <w:rFonts w:ascii="Arial" w:cs="Arial" w:eastAsia="Arial" w:hAnsi="Arial"/>
            <w:color w:val="1D4ED8"/>
            <w:sz w:val="24"/>
            <w:szCs w:val="24"/>
            <w:u w:val="single"/>
          </w:rPr>
          <w:t xml:space="preserve">11</w:t>
        </w:r>
      </w:hyperlink>
      <w:r>
        <w:rPr>
          <w:rFonts w:ascii="Arial" w:cs="Arial" w:eastAsia="Arial" w:hAnsi="Arial"/>
          <w:sz w:val="24"/>
          <w:szCs w:val="24"/>
        </w:rPr>
        <w:t xml:space="preserve"> настоящего Порядка произвести расчет и отчет сбора на последующие календарные годы и направить в соответствующие органы.</w:t>
      </w:r>
    </w:p>
    <w:p>
      <w:pPr>
        <w:spacing w:after="120"/>
        <w:ind w:firstLine="397"/>
        <w:jc w:val="both"/>
      </w:pPr>
      <w:r>
        <w:rPr>
          <w:rFonts w:ascii="Arial" w:cs="Arial" w:eastAsia="Arial" w:hAnsi="Arial"/>
          <w:sz w:val="24"/>
          <w:szCs w:val="24"/>
        </w:rPr>
        <w:t xml:space="preserve">13. Расчет сбора подлежит перерасчету с указанной в решении УГО по недропользованию даты. Уточненный отчет предоставляется согласно </w:t>
      </w:r>
      <w:hyperlink w:history="1" r:id="rIdpdsose8rxutqwvkyk3-n3">
        <w:r>
          <w:rPr>
            <w:rFonts w:ascii="Arial" w:cs="Arial" w:eastAsia="Arial" w:hAnsi="Arial"/>
            <w:color w:val="1D4ED8"/>
            <w:sz w:val="24"/>
            <w:szCs w:val="24"/>
            <w:u w:val="single"/>
          </w:rPr>
          <w:t xml:space="preserve">пункту 7</w:t>
        </w:r>
      </w:hyperlink>
      <w:r>
        <w:rPr>
          <w:rFonts w:ascii="Arial" w:cs="Arial" w:eastAsia="Arial" w:hAnsi="Arial"/>
          <w:sz w:val="24"/>
          <w:szCs w:val="24"/>
        </w:rPr>
        <w:t xml:space="preserve"> настоящего Порядка через КН в территориальный налоговый орган по месту нахождения лицензионной площади в случае изменений данных, используемых при произведении расчета сбора, в частности:</w:t>
      </w:r>
    </w:p>
    <w:p>
      <w:pPr>
        <w:spacing w:after="120"/>
        <w:ind w:firstLine="397"/>
        <w:jc w:val="both"/>
      </w:pPr>
      <w:r>
        <w:rPr>
          <w:rFonts w:ascii="Arial" w:cs="Arial" w:eastAsia="Arial" w:hAnsi="Arial"/>
          <w:sz w:val="24"/>
          <w:szCs w:val="24"/>
        </w:rPr>
        <w:t xml:space="preserve">1) восстановление действия, прекращение (аннулирование) действия лицензии на право пользования недрами;</w:t>
      </w:r>
    </w:p>
    <w:p>
      <w:pPr>
        <w:spacing w:after="120"/>
        <w:ind w:firstLine="397"/>
        <w:jc w:val="both"/>
      </w:pPr>
      <w:r>
        <w:rPr>
          <w:rFonts w:ascii="Arial" w:cs="Arial" w:eastAsia="Arial" w:hAnsi="Arial"/>
          <w:sz w:val="24"/>
          <w:szCs w:val="24"/>
        </w:rPr>
        <w:t xml:space="preserve">2) изменение места расположения и/или размера лицензионной площади;</w:t>
      </w:r>
    </w:p>
    <w:p>
      <w:pPr>
        <w:spacing w:after="120"/>
        <w:ind w:firstLine="397"/>
        <w:jc w:val="both"/>
      </w:pPr>
      <w:r>
        <w:rPr>
          <w:rFonts w:ascii="Arial" w:cs="Arial" w:eastAsia="Arial" w:hAnsi="Arial"/>
          <w:sz w:val="24"/>
          <w:szCs w:val="24"/>
        </w:rPr>
        <w:t xml:space="preserve">3) трансформация лицензии на право пользования недрами;</w:t>
      </w:r>
    </w:p>
    <w:p>
      <w:pPr>
        <w:spacing w:after="120"/>
        <w:ind w:firstLine="397"/>
        <w:jc w:val="both"/>
      </w:pPr>
      <w:r>
        <w:rPr>
          <w:rFonts w:ascii="Arial" w:cs="Arial" w:eastAsia="Arial" w:hAnsi="Arial"/>
          <w:sz w:val="24"/>
          <w:szCs w:val="24"/>
        </w:rPr>
        <w:t xml:space="preserve">4) обстоятельства непреодолимой силы (форс-мажор);</w:t>
      </w:r>
    </w:p>
    <w:p>
      <w:pPr>
        <w:spacing w:after="120"/>
        <w:ind w:firstLine="397"/>
        <w:jc w:val="both"/>
      </w:pPr>
      <w:r>
        <w:rPr>
          <w:rFonts w:ascii="Arial" w:cs="Arial" w:eastAsia="Arial" w:hAnsi="Arial"/>
          <w:sz w:val="24"/>
          <w:szCs w:val="24"/>
        </w:rPr>
        <w:t xml:space="preserve">5) установление факта недостоверности, искажения данных, использованных при расчете, перерасчете сбора;</w:t>
      </w:r>
    </w:p>
    <w:p>
      <w:pPr>
        <w:spacing w:after="120"/>
        <w:ind w:firstLine="397"/>
        <w:jc w:val="both"/>
      </w:pPr>
      <w:r>
        <w:rPr>
          <w:rFonts w:ascii="Arial" w:cs="Arial" w:eastAsia="Arial" w:hAnsi="Arial"/>
          <w:sz w:val="24"/>
          <w:szCs w:val="24"/>
        </w:rPr>
        <w:t xml:space="preserve">6) признание расчета и/или оснований, по которым был произведен расчет, недействительными по решению суда;</w:t>
      </w:r>
    </w:p>
    <w:p>
      <w:pPr>
        <w:spacing w:after="120"/>
        <w:ind w:firstLine="397"/>
        <w:jc w:val="both"/>
      </w:pPr>
      <w:r>
        <w:rPr>
          <w:rFonts w:ascii="Arial" w:cs="Arial" w:eastAsia="Arial" w:hAnsi="Arial"/>
          <w:sz w:val="24"/>
          <w:szCs w:val="24"/>
        </w:rPr>
        <w:t xml:space="preserve">7) на основании решения уполномоченного государственного органа по недропользованию.</w:t>
      </w:r>
    </w:p>
    <w:p>
      <w:pPr>
        <w:spacing w:after="120"/>
        <w:ind w:firstLine="397"/>
        <w:jc w:val="both"/>
      </w:pPr>
      <w:r>
        <w:rPr>
          <w:rFonts w:ascii="Arial" w:cs="Arial" w:eastAsia="Arial" w:hAnsi="Arial"/>
          <w:sz w:val="24"/>
          <w:szCs w:val="24"/>
        </w:rPr>
        <w:t xml:space="preserve">При перерасчете сбора в случае изменения обязательства УГО по недропользованию ежеквартально до 5 числа месяца, следующего за отчетным кварталом, направляет в налоговый орган информацию согласно </w:t>
      </w:r>
      <w:hyperlink w:history="1" r:id="rIdtpzkhkkyj3yodaerzfnzc">
        <w:r>
          <w:rPr>
            <w:rFonts w:ascii="Arial" w:cs="Arial" w:eastAsia="Arial" w:hAnsi="Arial"/>
            <w:color w:val="1D4ED8"/>
            <w:sz w:val="24"/>
            <w:szCs w:val="24"/>
            <w:u w:val="single"/>
          </w:rPr>
          <w:t xml:space="preserve">приложению 5</w:t>
        </w:r>
      </w:hyperlink>
      <w:r>
        <w:rPr>
          <w:rFonts w:ascii="Arial" w:cs="Arial" w:eastAsia="Arial" w:hAnsi="Arial"/>
          <w:sz w:val="24"/>
          <w:szCs w:val="24"/>
        </w:rPr>
        <w:t xml:space="preserve"> к настоящему Порядку.</w:t>
      </w:r>
    </w:p>
    <w:p>
      <w:pPr>
        <w:spacing w:after="120"/>
        <w:ind w:firstLine="397"/>
        <w:jc w:val="both"/>
      </w:pPr>
      <w:r>
        <w:rPr>
          <w:rFonts w:ascii="Arial" w:cs="Arial" w:eastAsia="Arial" w:hAnsi="Arial"/>
          <w:sz w:val="24"/>
          <w:szCs w:val="24"/>
        </w:rPr>
        <w:t xml:space="preserve">14. При возобновлении, восстановлении, прекращении (аннулировании), трансформации, передаче лицензии на право пользования недрами, приводящих к изменению суммы обязательства, расчет сбора производится с указанной УГО по недропользованию даты в решении. Уточненный отчет предоставляется через КН в органы налоговой службы.</w:t>
      </w:r>
    </w:p>
    <w:p>
      <w:pPr>
        <w:spacing w:after="120"/>
        <w:ind w:firstLine="397"/>
        <w:jc w:val="both"/>
      </w:pPr>
      <w:r>
        <w:rPr>
          <w:rFonts w:ascii="Arial" w:cs="Arial" w:eastAsia="Arial" w:hAnsi="Arial"/>
          <w:sz w:val="24"/>
          <w:szCs w:val="24"/>
        </w:rPr>
        <w:t xml:space="preserve">При изменении места расположения и/или размера лицензионной площади расчет сбора производится согласно </w:t>
      </w:r>
      <w:hyperlink w:history="1" r:id="rIdp7kr47csdf49obkdpccq4">
        <w:r>
          <w:rPr>
            <w:rFonts w:ascii="Arial" w:cs="Arial" w:eastAsia="Arial" w:hAnsi="Arial"/>
            <w:color w:val="1D4ED8"/>
            <w:sz w:val="24"/>
            <w:szCs w:val="24"/>
            <w:u w:val="single"/>
          </w:rPr>
          <w:t xml:space="preserve">пункту 20</w:t>
        </w:r>
      </w:hyperlink>
      <w:r>
        <w:rPr>
          <w:rFonts w:ascii="Arial" w:cs="Arial" w:eastAsia="Arial" w:hAnsi="Arial"/>
          <w:sz w:val="24"/>
          <w:szCs w:val="24"/>
        </w:rPr>
        <w:t xml:space="preserve"> настоящего Порядка.</w:t>
      </w:r>
    </w:p>
    <w:p>
      <w:pPr>
        <w:spacing w:after="120"/>
        <w:ind w:firstLine="397"/>
        <w:jc w:val="both"/>
      </w:pPr>
      <w:r>
        <w:rPr>
          <w:rFonts w:ascii="Arial" w:cs="Arial" w:eastAsia="Arial" w:hAnsi="Arial"/>
          <w:sz w:val="24"/>
          <w:szCs w:val="24"/>
        </w:rPr>
        <w:t xml:space="preserve">15. В случае признания в установленном порядке или по решению суда недействительным решения о прекращении (аннулировании) действия лицензии на право пользования недрами, период с момента принятия решения о прекращении (аннулировании) действия лицензии на право пользования недрами до момента принятия решения о восстановлении действия лицензии на право пользования недрами не включается в расчет сбора как период пользования недрами и не влияет на определение ставки.</w:t>
      </w:r>
    </w:p>
    <w:p>
      <w:pPr>
        <w:spacing w:after="120"/>
        <w:ind w:firstLine="397"/>
        <w:jc w:val="both"/>
      </w:pPr>
      <w:r>
        <w:rPr>
          <w:rFonts w:ascii="Arial" w:cs="Arial" w:eastAsia="Arial" w:hAnsi="Arial"/>
          <w:sz w:val="24"/>
          <w:szCs w:val="24"/>
        </w:rPr>
        <w:t xml:space="preserve">16. В случае отказа от лицензии на право пользования недрами плательщик сдает уточненный расчет/отчет через КН для прекращения начисления сбора:</w:t>
      </w:r>
    </w:p>
    <w:p>
      <w:pPr>
        <w:spacing w:after="120"/>
        <w:ind w:firstLine="397"/>
        <w:jc w:val="both"/>
      </w:pPr>
      <w:r>
        <w:rPr>
          <w:rFonts w:ascii="Arial" w:cs="Arial" w:eastAsia="Arial" w:hAnsi="Arial"/>
          <w:sz w:val="24"/>
          <w:szCs w:val="24"/>
        </w:rPr>
        <w:t xml:space="preserve">- с указанной даты в решении УГО по недропользованию о прекращении (аннулировании) действия лицензии на право пользования недрами;</w:t>
      </w:r>
    </w:p>
    <w:p>
      <w:pPr>
        <w:spacing w:after="120"/>
        <w:ind w:firstLine="397"/>
        <w:jc w:val="both"/>
      </w:pPr>
      <w:r>
        <w:rPr>
          <w:rFonts w:ascii="Arial" w:cs="Arial" w:eastAsia="Arial" w:hAnsi="Arial"/>
          <w:sz w:val="24"/>
          <w:szCs w:val="24"/>
        </w:rPr>
        <w:t xml:space="preserve">- при отсутствии такого решения по истечении 30 календарных дней со дня подачи заявления об отказе плательщика от лицензии на право пользования недрами.</w:t>
      </w:r>
    </w:p>
    <w:p>
      <w:pPr>
        <w:spacing w:after="120"/>
        <w:ind w:firstLine="397"/>
        <w:jc w:val="both"/>
      </w:pPr>
      <w:r>
        <w:rPr>
          <w:rFonts w:ascii="Arial" w:cs="Arial" w:eastAsia="Arial" w:hAnsi="Arial"/>
          <w:sz w:val="24"/>
          <w:szCs w:val="24"/>
        </w:rPr>
        <w:t xml:space="preserve">17. В случае прекращения (аннулирования) действия лицензий на право пользования недрами, УГО по недропользованию согласно </w:t>
      </w:r>
      <w:hyperlink w:history="1" r:id="rIdqs2mredwveulyz-u9n0mi">
        <w:r>
          <w:rPr>
            <w:rFonts w:ascii="Arial" w:cs="Arial" w:eastAsia="Arial" w:hAnsi="Arial"/>
            <w:color w:val="1D4ED8"/>
            <w:sz w:val="24"/>
            <w:szCs w:val="24"/>
            <w:u w:val="single"/>
          </w:rPr>
          <w:t xml:space="preserve">пункту 13</w:t>
        </w:r>
      </w:hyperlink>
      <w:r>
        <w:rPr>
          <w:rFonts w:ascii="Arial" w:cs="Arial" w:eastAsia="Arial" w:hAnsi="Arial"/>
          <w:sz w:val="24"/>
          <w:szCs w:val="24"/>
        </w:rPr>
        <w:t xml:space="preserve"> настоящего Порядка направляет информацию уполномоченному налоговому органу.</w:t>
      </w:r>
    </w:p>
    <w:p>
      <w:pPr>
        <w:spacing w:after="120"/>
        <w:ind w:firstLine="397"/>
        <w:jc w:val="both"/>
      </w:pPr>
      <w:r>
        <w:rPr>
          <w:rFonts w:ascii="Arial" w:cs="Arial" w:eastAsia="Arial" w:hAnsi="Arial"/>
          <w:sz w:val="24"/>
          <w:szCs w:val="24"/>
        </w:rPr>
        <w:t xml:space="preserve">18. В случае приостановления действия лицензии на право пользования недрами, период действия приостановления включается в расчет сбора как период пользования недрами, за исключением случаев приостановления действия лицензии на право пользования недрами по заявке плательщика в связи с обстоятельствами непреодолимой силы (форс-мажор).</w:t>
      </w:r>
    </w:p>
    <w:p>
      <w:pPr>
        <w:spacing w:after="120"/>
        <w:ind w:firstLine="397"/>
        <w:jc w:val="both"/>
      </w:pPr>
      <w:r>
        <w:rPr>
          <w:rFonts w:ascii="Arial" w:cs="Arial" w:eastAsia="Arial" w:hAnsi="Arial"/>
          <w:sz w:val="24"/>
          <w:szCs w:val="24"/>
        </w:rPr>
        <w:t xml:space="preserve">19. При трансформации лицензии на право пользования недрами плательщик обязан предоставить справки, выдаваемые уполномоченным государственным органом по землеустройству, о точных границах и площади айылных аймаков, входящих в лицензионную площадь лицензии на новый вид пользования недрами и в часть лицензионной площади, которая не была трансформирована.</w:t>
      </w:r>
    </w:p>
    <w:p>
      <w:pPr>
        <w:spacing w:after="120"/>
        <w:ind w:firstLine="397"/>
        <w:jc w:val="both"/>
      </w:pPr>
      <w:r>
        <w:rPr>
          <w:rFonts w:ascii="Arial" w:cs="Arial" w:eastAsia="Arial" w:hAnsi="Arial"/>
          <w:sz w:val="24"/>
          <w:szCs w:val="24"/>
        </w:rPr>
        <w:t xml:space="preserve">Плательщик производит перерасчет сбора, согласовывает с УГО по недропользованию, представляет через КН уточненный расчет/отчет в территориальный налоговый орган по месту учетной регистрации по нетрансформированной лицензии с учетом исключенной из расчета сбора лицензионной площади по лицензии на новый вид пользования недрами, установленный настоящим Порядком.</w:t>
      </w:r>
    </w:p>
    <w:p>
      <w:pPr>
        <w:spacing w:after="120"/>
        <w:ind w:firstLine="397"/>
        <w:jc w:val="both"/>
      </w:pPr>
      <w:r>
        <w:rPr>
          <w:rFonts w:ascii="Arial" w:cs="Arial" w:eastAsia="Arial" w:hAnsi="Arial"/>
          <w:sz w:val="24"/>
          <w:szCs w:val="24"/>
        </w:rPr>
        <w:t xml:space="preserve">УГО по недропользованию направляет согласно </w:t>
      </w:r>
      <w:hyperlink w:history="1" r:id="rIdouko329kxpolknun7kye-">
        <w:r>
          <w:rPr>
            <w:rFonts w:ascii="Arial" w:cs="Arial" w:eastAsia="Arial" w:hAnsi="Arial"/>
            <w:color w:val="1D4ED8"/>
            <w:sz w:val="24"/>
            <w:szCs w:val="24"/>
            <w:u w:val="single"/>
          </w:rPr>
          <w:t xml:space="preserve">пункту 13</w:t>
        </w:r>
      </w:hyperlink>
      <w:r>
        <w:rPr>
          <w:rFonts w:ascii="Arial" w:cs="Arial" w:eastAsia="Arial" w:hAnsi="Arial"/>
          <w:sz w:val="24"/>
          <w:szCs w:val="24"/>
        </w:rPr>
        <w:t xml:space="preserve"> настоящего Порядка информацию в органы налоговой службы о плательщиках, у которых трансформированы лицензии на право пользования недрами.</w:t>
      </w:r>
    </w:p>
    <w:p>
      <w:pPr>
        <w:spacing w:after="120"/>
        <w:ind w:firstLine="397"/>
        <w:jc w:val="both"/>
      </w:pPr>
      <w:r>
        <w:rPr>
          <w:rFonts w:ascii="Arial" w:cs="Arial" w:eastAsia="Arial" w:hAnsi="Arial"/>
          <w:sz w:val="24"/>
          <w:szCs w:val="24"/>
        </w:rPr>
        <w:t xml:space="preserve">20. В случае изменения места расположения и/или размера лицензионной площади, плательщик самостоятельно должен произвести перерасчет сбора в соответствии с принятыми изменениями.</w:t>
      </w:r>
    </w:p>
    <w:p>
      <w:pPr>
        <w:spacing w:after="120"/>
        <w:ind w:firstLine="397"/>
        <w:jc w:val="both"/>
      </w:pPr>
      <w:r>
        <w:rPr>
          <w:rFonts w:ascii="Arial" w:cs="Arial" w:eastAsia="Arial" w:hAnsi="Arial"/>
          <w:sz w:val="24"/>
          <w:szCs w:val="24"/>
        </w:rPr>
        <w:t xml:space="preserve">При изменении размера лицензионной площади начисленный сбор подлежит перерасчету с указанной даты в решении УГО по недропользованию об изменении размера лицензионной площади.</w:t>
      </w:r>
    </w:p>
    <w:p>
      <w:pPr>
        <w:spacing w:after="120"/>
        <w:ind w:firstLine="397"/>
        <w:jc w:val="both"/>
      </w:pPr>
      <w:r>
        <w:rPr>
          <w:rFonts w:ascii="Arial" w:cs="Arial" w:eastAsia="Arial" w:hAnsi="Arial"/>
          <w:sz w:val="24"/>
          <w:szCs w:val="24"/>
        </w:rPr>
        <w:t xml:space="preserve">При изменении места расположения и/или размера лицензионной площади плательщик согласно </w:t>
      </w:r>
      <w:hyperlink w:history="1" r:id="rIdffkk-luragd7n48cq8xuj">
        <w:r>
          <w:rPr>
            <w:rFonts w:ascii="Arial" w:cs="Arial" w:eastAsia="Arial" w:hAnsi="Arial"/>
            <w:color w:val="1D4ED8"/>
            <w:sz w:val="24"/>
            <w:szCs w:val="24"/>
            <w:u w:val="single"/>
          </w:rPr>
          <w:t xml:space="preserve">пункту 11</w:t>
        </w:r>
      </w:hyperlink>
      <w:r>
        <w:rPr>
          <w:rFonts w:ascii="Arial" w:cs="Arial" w:eastAsia="Arial" w:hAnsi="Arial"/>
          <w:sz w:val="24"/>
          <w:szCs w:val="24"/>
        </w:rPr>
        <w:t xml:space="preserve"> настоящего Порядка обязан предоставить справку о точных границах и площади айылных аймаков, входящих в лицензионные площади, выдаваемую УГО по землеустройству.</w:t>
      </w:r>
    </w:p>
    <w:p>
      <w:pPr>
        <w:spacing w:after="120"/>
        <w:ind w:firstLine="397"/>
        <w:jc w:val="both"/>
      </w:pPr>
      <w:r>
        <w:rPr>
          <w:rFonts w:ascii="Arial" w:cs="Arial" w:eastAsia="Arial" w:hAnsi="Arial"/>
          <w:sz w:val="24"/>
          <w:szCs w:val="24"/>
        </w:rPr>
        <w:t xml:space="preserve">21. В период действия обстоятельств непреодолимой силы (форс-мажор), препятствующих выполнению плательщиком обязательств, предусмотренных условиями лицензирования, сбор не начисляется.</w:t>
      </w:r>
    </w:p>
    <w:p>
      <w:pPr>
        <w:spacing w:after="120"/>
        <w:ind w:firstLine="397"/>
        <w:jc w:val="both"/>
      </w:pPr>
      <w:r>
        <w:rPr>
          <w:rFonts w:ascii="Arial" w:cs="Arial" w:eastAsia="Arial" w:hAnsi="Arial"/>
          <w:sz w:val="24"/>
          <w:szCs w:val="24"/>
        </w:rPr>
        <w:t xml:space="preserve">При наступлении обстоятельств непреодолимой силы (форс-мажор) плательщик обязан уведомить об этом уполномоченный государственный орган по недропользованию в течение 30 календарных дней со дня наступления таких обстоятельств. В заявлении должны быть указаны характер обстоятельств непреодолимой силы (форс-мажор), срок их действия и обоснование невозможности пользования недрами.</w:t>
      </w:r>
    </w:p>
    <w:p>
      <w:pPr>
        <w:spacing w:after="120"/>
        <w:ind w:firstLine="397"/>
        <w:jc w:val="both"/>
      </w:pPr>
      <w:r>
        <w:rPr>
          <w:rFonts w:ascii="Arial" w:cs="Arial" w:eastAsia="Arial" w:hAnsi="Arial"/>
          <w:sz w:val="24"/>
          <w:szCs w:val="24"/>
        </w:rPr>
        <w:t xml:space="preserve">При отсутствии такого заявления обстоятельства непреодолимой силы (форс-мажор) и период их длительности считаются неподтвержденными, период включается в расчет сбора как пользование недрами.</w:t>
      </w:r>
    </w:p>
    <w:p>
      <w:pPr>
        <w:spacing w:after="120"/>
        <w:ind w:firstLine="397"/>
        <w:jc w:val="both"/>
      </w:pPr>
      <w:r>
        <w:rPr>
          <w:rFonts w:ascii="Arial" w:cs="Arial" w:eastAsia="Arial" w:hAnsi="Arial"/>
          <w:sz w:val="24"/>
          <w:szCs w:val="24"/>
        </w:rPr>
        <w:t xml:space="preserve">22. Наличие обстоятельств непреодолимой силы (форс-мажор) и срок их действия должны быть подтверждены официальными документами компетентных государственных органов, имеющих полномочия по регулированию вопросов, относящихся к характеру обстоятельств непреодолимой силы (форс-мажор). Официальные документы должны содержать точные даты наступления и окончания (в случае окончания таких обстоятельств на момент подачи заявления) действия обстоятельств непреодолимой силы (форс-мажор). Плательщик обязан приложить такие документы к своему заявлению.</w:t>
      </w:r>
    </w:p>
    <w:p>
      <w:pPr>
        <w:spacing w:after="120"/>
        <w:ind w:firstLine="397"/>
        <w:jc w:val="both"/>
      </w:pPr>
      <w:r>
        <w:rPr>
          <w:rFonts w:ascii="Arial" w:cs="Arial" w:eastAsia="Arial" w:hAnsi="Arial"/>
          <w:sz w:val="24"/>
          <w:szCs w:val="24"/>
        </w:rPr>
        <w:t xml:space="preserve">23. УГО по недропользованию в течение 10 рабочих дней со дня подачи заявления об обстоятельствах непреодолимой силы (форс-мажор) принимает решение об отказе в принятии или принятии обстоятельств непреодолимой силы (форс-мажор) и уведомляет уполномоченный налоговый орган в сроки, установленные </w:t>
      </w:r>
      <w:hyperlink w:history="1" r:id="rIdjbvxbvi90kjeujctiwub1">
        <w:r>
          <w:rPr>
            <w:rFonts w:ascii="Arial" w:cs="Arial" w:eastAsia="Arial" w:hAnsi="Arial"/>
            <w:color w:val="1D4ED8"/>
            <w:sz w:val="24"/>
            <w:szCs w:val="24"/>
            <w:u w:val="single"/>
          </w:rPr>
          <w:t xml:space="preserve">пунктом 13</w:t>
        </w:r>
      </w:hyperlink>
      <w:r>
        <w:rPr>
          <w:rFonts w:ascii="Arial" w:cs="Arial" w:eastAsia="Arial" w:hAnsi="Arial"/>
          <w:sz w:val="24"/>
          <w:szCs w:val="24"/>
        </w:rPr>
        <w:t xml:space="preserve"> настоящего Порядка.</w:t>
      </w:r>
    </w:p>
    <w:p>
      <w:pPr>
        <w:spacing w:after="120"/>
        <w:ind w:firstLine="397"/>
        <w:jc w:val="both"/>
      </w:pPr>
      <w:r>
        <w:rPr>
          <w:rFonts w:ascii="Arial" w:cs="Arial" w:eastAsia="Arial" w:hAnsi="Arial"/>
          <w:sz w:val="24"/>
          <w:szCs w:val="24"/>
        </w:rPr>
        <w:t xml:space="preserve">24. В случае если представленное плательщиком заявление об обстоятельствах непреодолимой силы (форс-мажор) не отвечает требованиям, установленным пунктами </w:t>
      </w:r>
      <w:hyperlink w:history="1" r:id="rId7hwgc4aloxd43fooj_bfy">
        <w:r>
          <w:rPr>
            <w:rFonts w:ascii="Arial" w:cs="Arial" w:eastAsia="Arial" w:hAnsi="Arial"/>
            <w:color w:val="1D4ED8"/>
            <w:sz w:val="24"/>
            <w:szCs w:val="24"/>
            <w:u w:val="single"/>
          </w:rPr>
          <w:t xml:space="preserve">21</w:t>
        </w:r>
      </w:hyperlink>
      <w:r>
        <w:rPr>
          <w:rFonts w:ascii="Arial" w:cs="Arial" w:eastAsia="Arial" w:hAnsi="Arial"/>
          <w:sz w:val="24"/>
          <w:szCs w:val="24"/>
        </w:rPr>
        <w:t xml:space="preserve"> и </w:t>
      </w:r>
      <w:hyperlink w:history="1" r:id="rIdbsmon0x4cjqivpbnxfel8">
        <w:r>
          <w:rPr>
            <w:rFonts w:ascii="Arial" w:cs="Arial" w:eastAsia="Arial" w:hAnsi="Arial"/>
            <w:color w:val="1D4ED8"/>
            <w:sz w:val="24"/>
            <w:szCs w:val="24"/>
            <w:u w:val="single"/>
          </w:rPr>
          <w:t xml:space="preserve">22</w:t>
        </w:r>
      </w:hyperlink>
      <w:r>
        <w:rPr>
          <w:rFonts w:ascii="Arial" w:cs="Arial" w:eastAsia="Arial" w:hAnsi="Arial"/>
          <w:sz w:val="24"/>
          <w:szCs w:val="24"/>
        </w:rPr>
        <w:t xml:space="preserve"> настоящего Порядка, УГО по недропользованию отказывает в принятии к учету при начислении сбора такого обстоятельства непреодолимой силы (форс-мажор) с указанием мотивов отказа. Отказ в принятии к учету при начислении сбора обстоятельств непреодолимой силы (форс-мажор) оформляется в письменном виде и направляется плательщику в течение 30 календарных дней по последнему известному адресу плательщика.</w:t>
      </w:r>
    </w:p>
    <w:p>
      <w:pPr>
        <w:spacing w:after="120"/>
        <w:ind w:firstLine="397"/>
        <w:jc w:val="both"/>
      </w:pPr>
      <w:r>
        <w:rPr>
          <w:rFonts w:ascii="Arial" w:cs="Arial" w:eastAsia="Arial" w:hAnsi="Arial"/>
          <w:sz w:val="24"/>
          <w:szCs w:val="24"/>
        </w:rPr>
        <w:t xml:space="preserve">25. При обнаружении ошибок или неточностей при расчете сбора в представленных плательщиком расчетах и отчетах, УГО по недропользованию производит корректировку расчета сбора и направляет его по электронной почте или заказным письмом по последнему известному адресу плательщика, либо нарочно уполномоченному представителю плательщика также направляет информацию в налоговый орган в сроки, установленные </w:t>
      </w:r>
      <w:hyperlink w:history="1" r:id="rId8elj7dmi2yyk2aunqynly">
        <w:r>
          <w:rPr>
            <w:rFonts w:ascii="Arial" w:cs="Arial" w:eastAsia="Arial" w:hAnsi="Arial"/>
            <w:color w:val="1D4ED8"/>
            <w:sz w:val="24"/>
            <w:szCs w:val="24"/>
            <w:u w:val="single"/>
          </w:rPr>
          <w:t xml:space="preserve">пунктом 13</w:t>
        </w:r>
      </w:hyperlink>
      <w:r>
        <w:rPr>
          <w:rFonts w:ascii="Arial" w:cs="Arial" w:eastAsia="Arial" w:hAnsi="Arial"/>
          <w:sz w:val="24"/>
          <w:szCs w:val="24"/>
        </w:rPr>
        <w:t xml:space="preserve"> настоящего Порядка.</w:t>
      </w:r>
    </w:p>
    <w:p>
      <w:pPr>
        <w:spacing w:after="120"/>
        <w:ind w:firstLine="397"/>
        <w:jc w:val="both"/>
      </w:pPr>
      <w:r>
        <w:rPr>
          <w:rFonts w:ascii="Arial" w:cs="Arial" w:eastAsia="Arial" w:hAnsi="Arial"/>
          <w:sz w:val="24"/>
          <w:szCs w:val="24"/>
        </w:rPr>
        <w:t xml:space="preserve">На основе откорректированного отчета и расчета сбора плательщик при получении письма в течение 10 календарных дней предоставляет в соответствии с </w:t>
      </w:r>
      <w:hyperlink w:history="1" r:id="rIdihczj0jvk747x8ehjhcct">
        <w:r>
          <w:rPr>
            <w:rFonts w:ascii="Arial" w:cs="Arial" w:eastAsia="Arial" w:hAnsi="Arial"/>
            <w:color w:val="1D4ED8"/>
            <w:sz w:val="24"/>
            <w:szCs w:val="24"/>
            <w:u w:val="single"/>
          </w:rPr>
          <w:t xml:space="preserve">пунктом 13</w:t>
        </w:r>
      </w:hyperlink>
      <w:r>
        <w:rPr>
          <w:rFonts w:ascii="Arial" w:cs="Arial" w:eastAsia="Arial" w:hAnsi="Arial"/>
          <w:sz w:val="24"/>
          <w:szCs w:val="24"/>
        </w:rPr>
        <w:t xml:space="preserve"> настоящего Порядка уточненный расчет/отчет через КН по месту учетной регистрации.</w:t>
      </w:r>
    </w:p>
    <w:p>
      <w:pPr>
        <w:spacing w:after="120"/>
        <w:ind w:firstLine="397"/>
        <w:jc w:val="both"/>
      </w:pPr>
      <w:r>
        <w:rPr>
          <w:rFonts w:ascii="Arial" w:cs="Arial" w:eastAsia="Arial" w:hAnsi="Arial"/>
          <w:sz w:val="24"/>
          <w:szCs w:val="24"/>
        </w:rPr>
        <w:t xml:space="preserve">Если плательщик не согласен с корректированным расчетом, то он вправе обжаловать его в порядке, предусмотренном </w:t>
      </w:r>
      <w:hyperlink w:history="1" r:id="rIdrigrhd-cuoqv3k-i2iz9m">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w:t>
      </w:r>
    </w:p>
    <w:p>
      <w:pPr>
        <w:spacing w:after="120"/>
        <w:ind w:firstLine="397"/>
        <w:jc w:val="both"/>
      </w:pPr>
      <w:r>
        <w:rPr>
          <w:rFonts w:ascii="Arial" w:cs="Arial" w:eastAsia="Arial" w:hAnsi="Arial"/>
          <w:sz w:val="24"/>
          <w:szCs w:val="24"/>
        </w:rPr>
        <w:t xml:space="preserve">26. В случае если заявка на продление действия лицензии на право пользования недрами не рассматривается в установленный законодательством в сфере недропользования срок, в период со дня окончания такого срока до момента принятия решения по заявке лицензия считается действующей и период включается в расчет сбора как период пользования недрами.</w:t>
      </w:r>
    </w:p>
    <w:p>
      <w:pPr>
        <w:spacing w:after="120"/>
        <w:ind w:firstLine="397"/>
        <w:jc w:val="both"/>
      </w:pPr>
      <w:r>
        <w:rPr>
          <w:rFonts w:ascii="Arial" w:cs="Arial" w:eastAsia="Arial" w:hAnsi="Arial"/>
          <w:sz w:val="24"/>
          <w:szCs w:val="24"/>
        </w:rPr>
        <w:t xml:space="preserve">27. В случае передачи лицензии на право пользования недрами новому плательщику, начисление сбора происходит в том же порядке и по той же ставке, что и до передачи лицензии на право пользования недрами.</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4. Порядок уплаты сбора</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28. При получении лицензии на право пользования недрами плательщик сбора после направления расчетов в соответствии с </w:t>
      </w:r>
      <w:hyperlink w:history="1" r:id="rId-pcqv2q2dbqwlkde58j-m">
        <w:r>
          <w:rPr>
            <w:rFonts w:ascii="Arial" w:cs="Arial" w:eastAsia="Arial" w:hAnsi="Arial"/>
            <w:color w:val="1D4ED8"/>
            <w:sz w:val="24"/>
            <w:szCs w:val="24"/>
            <w:u w:val="single"/>
          </w:rPr>
          <w:t xml:space="preserve">пунктом 11</w:t>
        </w:r>
      </w:hyperlink>
      <w:r>
        <w:rPr>
          <w:rFonts w:ascii="Arial" w:cs="Arial" w:eastAsia="Arial" w:hAnsi="Arial"/>
          <w:sz w:val="24"/>
          <w:szCs w:val="24"/>
        </w:rPr>
        <w:t xml:space="preserve"> настоящего Порядка в течение 30 (тридцать) календарных дней обязан уплатить сбор за первый год (последующие 12 месяцев) пользования недрами. В случае неуплаты в срок УГО по недропользованию принимает меры в соответствии с законодательством Кыргызской Республики в сфере недропользования. Государственным предприятиям и хозяйствующим субъектам, имеющим не менее двух третьих долей участия государства в уставном капитале, предоставляется отсрочка уплаты сбора до начала промышленной разработки участка недр и выхода на проектную мощность.</w:t>
      </w:r>
    </w:p>
    <w:p>
      <w:pPr>
        <w:spacing w:after="120"/>
        <w:ind w:firstLine="397"/>
        <w:jc w:val="both"/>
      </w:pPr>
      <w:r>
        <w:rPr>
          <w:rFonts w:ascii="Arial" w:cs="Arial" w:eastAsia="Arial" w:hAnsi="Arial"/>
          <w:sz w:val="24"/>
          <w:szCs w:val="24"/>
        </w:rPr>
        <w:t xml:space="preserve">29. За последующие годы по лицензиям на геолого-поисковые и геолого-разведочные работы, на разработку (на стадии проектирования) месторождений полезных ископаемых общая сумма сбора за год распределяется пропорционально по месяцам и плательщик производит уплату не позднее 20 числа месяца, следующего за отчетным месяцем.</w:t>
      </w:r>
    </w:p>
    <w:p>
      <w:pPr>
        <w:spacing w:after="120"/>
        <w:ind w:firstLine="397"/>
        <w:jc w:val="both"/>
      </w:pPr>
      <w:r>
        <w:rPr>
          <w:rFonts w:ascii="Arial" w:cs="Arial" w:eastAsia="Arial" w:hAnsi="Arial"/>
          <w:sz w:val="24"/>
          <w:szCs w:val="24"/>
        </w:rPr>
        <w:t xml:space="preserve">30. При пользовании недрами с целью разработки (на стадии проведения работ), в случае выполнения годового объема добычи полезного ископаемого менее чем на 90 процентов, плательщик до 1 марта текущего года обязан уплатить сбор в сумме, пропорциональной объему недовыполнения плана добычи полезных ископаемых за отчетный год.</w:t>
      </w:r>
    </w:p>
    <w:p>
      <w:pPr>
        <w:spacing w:after="120"/>
        <w:ind w:firstLine="397"/>
        <w:jc w:val="both"/>
      </w:pPr>
      <w:r>
        <w:rPr>
          <w:rFonts w:ascii="Arial" w:cs="Arial" w:eastAsia="Arial" w:hAnsi="Arial"/>
          <w:sz w:val="24"/>
          <w:szCs w:val="24"/>
        </w:rPr>
        <w:t xml:space="preserve">Ежегодно до 1 апреля УГО по недропользованию направляет согласно </w:t>
      </w:r>
      <w:hyperlink w:history="1" r:id="rIdelx8c1o5_fmhnsw3a8d9t">
        <w:r>
          <w:rPr>
            <w:rFonts w:ascii="Arial" w:cs="Arial" w:eastAsia="Arial" w:hAnsi="Arial"/>
            <w:color w:val="1D4ED8"/>
            <w:sz w:val="24"/>
            <w:szCs w:val="24"/>
            <w:u w:val="single"/>
          </w:rPr>
          <w:t xml:space="preserve">приложению 6</w:t>
        </w:r>
      </w:hyperlink>
      <w:r>
        <w:rPr>
          <w:rFonts w:ascii="Arial" w:cs="Arial" w:eastAsia="Arial" w:hAnsi="Arial"/>
          <w:sz w:val="24"/>
          <w:szCs w:val="24"/>
        </w:rPr>
        <w:t xml:space="preserve"> к настоящему Порядку информацию о выполнении годового объема добычи полезного ископаемого плательщиками за предыдущий календарный год в уполномоченный налоговый орган.</w:t>
      </w:r>
    </w:p>
    <w:p>
      <w:pPr>
        <w:spacing w:after="120"/>
        <w:ind w:firstLine="397"/>
        <w:jc w:val="both"/>
      </w:pPr>
      <w:r>
        <w:rPr>
          <w:rFonts w:ascii="Arial" w:cs="Arial" w:eastAsia="Arial" w:hAnsi="Arial"/>
          <w:sz w:val="24"/>
          <w:szCs w:val="24"/>
        </w:rPr>
        <w:t xml:space="preserve">31. В случае если после перерасчета сбора обнаруживается переплата, то переплаченная сумма органом местного самоуправления и территориальным налоговым органом засчитывается в счет следующего года такого плательщика или возвращается плательщику по его заявлению.</w:t>
      </w:r>
    </w:p>
    <w:p>
      <w:pPr>
        <w:spacing w:after="120"/>
        <w:ind w:firstLine="397"/>
        <w:jc w:val="both"/>
      </w:pPr>
      <w:r>
        <w:rPr>
          <w:rFonts w:ascii="Arial" w:cs="Arial" w:eastAsia="Arial" w:hAnsi="Arial"/>
          <w:sz w:val="24"/>
          <w:szCs w:val="24"/>
        </w:rPr>
        <w:t xml:space="preserve">32. Плательщик, сменивший свой адрес и не уведомивший об этом соответствующие органы налоговой службы и орган местного самоуправления, несет ответственность за последствия несвоевременной уплаты сбора, установленную законодательством Кыргызской Республики в сфере недропользования, неналоговых доходов и Кодексом о правонарушениях Кыргызской Республики.</w:t>
      </w:r>
    </w:p>
    <w:p>
      <w:pPr>
        <w:spacing w:after="120"/>
        <w:ind w:firstLine="397"/>
        <w:jc w:val="both"/>
      </w:pPr>
      <w:r>
        <w:rPr>
          <w:rFonts w:ascii="Arial" w:cs="Arial" w:eastAsia="Arial" w:hAnsi="Arial"/>
          <w:sz w:val="24"/>
          <w:szCs w:val="24"/>
        </w:rPr>
        <w:t xml:space="preserve">33. Уплата сбора производится в местные бюджеты органов местного самоуправления. При этом, если лицензионная площадь находится на территории нескольких административно-территориальных единиц, уплата сбора производится на счет каждого органа местного самоуправления пропорционально площади, которая находится на территории той или иной административно-территориальной единицы.</w:t>
      </w:r>
    </w:p>
    <w:p>
      <w:pPr>
        <w:spacing w:after="120"/>
        <w:ind w:firstLine="397"/>
        <w:jc w:val="both"/>
      </w:pPr>
      <w:r>
        <w:rPr>
          <w:rFonts w:ascii="Arial" w:cs="Arial" w:eastAsia="Arial" w:hAnsi="Arial"/>
          <w:sz w:val="24"/>
          <w:szCs w:val="24"/>
        </w:rPr>
        <w:t xml:space="preserve">34. В случае если лицензионная площадь или ее часть не входит в границы айылного аймака, города, то сборы по такой лицензионной площади направляются в республиканский бюджет.</w:t>
      </w:r>
    </w:p>
    <w:p>
      <w:pPr>
        <w:spacing w:after="120"/>
        <w:ind w:firstLine="397"/>
        <w:jc w:val="both"/>
      </w:pPr>
      <w:r>
        <w:rPr>
          <w:rFonts w:ascii="Arial" w:cs="Arial" w:eastAsia="Arial" w:hAnsi="Arial"/>
          <w:sz w:val="24"/>
          <w:szCs w:val="24"/>
        </w:rPr>
        <w:t xml:space="preserve">Нормы настоящего пункта применяются независимо от формы собственности земельных участков, на территории которых расположены лицензионные площади.</w:t>
      </w:r>
    </w:p>
    <w:p>
      <w:pPr>
        <w:spacing w:after="120"/>
        <w:ind w:firstLine="397"/>
        <w:jc w:val="both"/>
      </w:pPr>
      <w:r>
        <w:rPr>
          <w:rFonts w:ascii="Arial" w:cs="Arial" w:eastAsia="Arial" w:hAnsi="Arial"/>
          <w:sz w:val="24"/>
          <w:szCs w:val="24"/>
        </w:rPr>
        <w:t xml:space="preserve">35. Территориальное и/или функциональное подразделение уполномоченного налогового органа по месту нахождения лицензионных площадей открывают карточки лицевого счета по сбору. В карточке лицевого счета отражаются начисленная сумма сбора и фактически уплаченная сумма сбора, а также начисленная пеня.</w:t>
      </w:r>
    </w:p>
    <w:p>
      <w:pPr>
        <w:spacing w:after="120"/>
        <w:ind w:firstLine="397"/>
        <w:jc w:val="both"/>
      </w:pPr>
      <w:r>
        <w:rPr>
          <w:rFonts w:ascii="Arial" w:cs="Arial" w:eastAsia="Arial" w:hAnsi="Arial"/>
          <w:sz w:val="24"/>
          <w:szCs w:val="24"/>
        </w:rPr>
        <w:t xml:space="preserve">Прекращение (аннулирование) действия лицензии на право пользования недрами не является основанием для освобождения от уплаты сбора за период удержания лицензии на право пользования недрами.</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5. Порядок взыскания задолженности по сбору</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36. Администрирование по части взыскания задолженности по сбору за удержание лицензии на право пользования недрами регулируется налоговым законодательством Кыргызской Республики.</w:t>
      </w:r>
    </w:p>
    <w:p>
      <w:pPr>
        <w:spacing w:after="120"/>
        <w:ind w:firstLine="397"/>
        <w:jc w:val="both"/>
      </w:pPr>
      <w:r>
        <w:rPr>
          <w:rFonts w:ascii="Arial" w:cs="Arial" w:eastAsia="Arial" w:hAnsi="Arial"/>
          <w:sz w:val="24"/>
          <w:szCs w:val="24"/>
        </w:rPr>
        <w:t xml:space="preserve">В случае полной или частичной неуплаты платежа и/или нарушения сроков уплаты платежа, соответствующий территориальный налоговый орган обязан направить УГО по недропользованию копию извещения об обеспечении исполнения задолженности по налогам, неналоговым доходам и страховым взносам, признанной налогоплательщиком (далее - извещения), в течение 5 рабочих дней со дня вынесения извещения для приостановления действия лицензии на право пользования недрами.</w:t>
      </w:r>
    </w:p>
    <w:p>
      <w:pPr>
        <w:spacing w:after="120"/>
        <w:ind w:firstLine="397"/>
        <w:jc w:val="both"/>
      </w:pPr>
      <w:r>
        <w:rPr>
          <w:rFonts w:ascii="Arial" w:cs="Arial" w:eastAsia="Arial" w:hAnsi="Arial"/>
          <w:sz w:val="24"/>
          <w:szCs w:val="24"/>
        </w:rPr>
        <w:t xml:space="preserve">37. УГО по недропользованию в течение 5 рабочих дней со дня получения от соответствующего территориального налогового органа копии извещения приостанавливает действие лицензии на право пользования недрами до полного погашения задолженности по сбору. При этом в течение 10 рабочих дней со дня принятия решения УГО по недропользованию направляет соответствующему территориальному налоговому органу выписку из решения о приостановлении действия лицензии на право пользования недрами.</w:t>
      </w:r>
    </w:p>
    <w:p>
      <w:pPr>
        <w:spacing w:after="120"/>
        <w:ind w:firstLine="397"/>
        <w:jc w:val="both"/>
      </w:pPr>
      <w:r>
        <w:rPr>
          <w:rFonts w:ascii="Arial" w:cs="Arial" w:eastAsia="Arial" w:hAnsi="Arial"/>
          <w:sz w:val="24"/>
          <w:szCs w:val="24"/>
        </w:rPr>
        <w:t xml:space="preserve">38. В случае непогашения задолженности по сбору плательщиком в течение срока приостановления действия лицензии на право пользования недрами, согласно законодательству в сфере недропользования в течение 5 рабочих дней УГО по недропользованию прекращает (аннулирует) действие лицензии на право пользования недрами. УГО по недропользованию в течение 10 рабочих дней с даты принятия решения о прекращении (аннулировании) действия лицензии на право пользования недрами направляет выписку из решения плательщику и в органы налоговой службы с указанием оснований принятия такого решения.</w:t>
      </w:r>
    </w:p>
    <w:p>
      <w:pPr>
        <w:spacing w:after="120"/>
        <w:ind w:firstLine="397"/>
        <w:jc w:val="both"/>
      </w:pPr>
      <w:r>
        <w:rPr>
          <w:rFonts w:ascii="Arial" w:cs="Arial" w:eastAsia="Arial" w:hAnsi="Arial"/>
          <w:sz w:val="24"/>
          <w:szCs w:val="24"/>
        </w:rPr>
        <w:t xml:space="preserve">Указанные в настоящей главе документы по обмену сведениями направляются в бумажном или электронном формате.</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6. Порядок заполнения и представления расчета</w:t>
      </w:r>
    </w:p>
    <w:p>
      <w:pPr>
        <w:spacing w:after="240" w:before="200"/>
        <w:jc w:val="center"/>
      </w:pPr>
      <w:r>
        <w:rPr>
          <w:rFonts w:ascii="Arial" w:cs="Arial" w:eastAsia="Arial" w:hAnsi="Arial"/>
          <w:b/>
          <w:bCs/>
          <w:sz w:val="32"/>
          <w:szCs w:val="32"/>
        </w:rPr>
        <w:t xml:space="preserve">по сбору за удержание лицензий на право пользования</w:t>
      </w:r>
    </w:p>
    <w:p>
      <w:pPr>
        <w:spacing w:after="240" w:before="200"/>
        <w:jc w:val="center"/>
      </w:pPr>
      <w:r>
        <w:rPr>
          <w:rFonts w:ascii="Arial" w:cs="Arial" w:eastAsia="Arial" w:hAnsi="Arial"/>
          <w:b/>
          <w:bCs/>
          <w:sz w:val="32"/>
          <w:szCs w:val="32"/>
        </w:rPr>
        <w:t xml:space="preserve">недрами при поиске, разведке и разработке (на стадии</w:t>
      </w:r>
    </w:p>
    <w:p>
      <w:pPr>
        <w:spacing w:after="240" w:before="200"/>
        <w:jc w:val="center"/>
      </w:pPr>
      <w:r>
        <w:rPr>
          <w:rFonts w:ascii="Arial" w:cs="Arial" w:eastAsia="Arial" w:hAnsi="Arial"/>
          <w:b/>
          <w:bCs/>
          <w:sz w:val="32"/>
          <w:szCs w:val="32"/>
        </w:rPr>
        <w:t xml:space="preserve">проектирования)</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39. Расчет по сбору за удержание лицензий на право пользования недрами при поиске, разведке и разработке (далее - расчет сбора) представляется через КН. Электронный документ должен быть заверен электронной подписью плательщика.</w:t>
      </w:r>
    </w:p>
    <w:p>
      <w:pPr>
        <w:spacing w:after="120"/>
        <w:ind w:firstLine="397"/>
        <w:jc w:val="both"/>
      </w:pPr>
      <w:r>
        <w:rPr>
          <w:rFonts w:ascii="Arial" w:cs="Arial" w:eastAsia="Arial" w:hAnsi="Arial"/>
          <w:sz w:val="24"/>
          <w:szCs w:val="24"/>
        </w:rPr>
        <w:t xml:space="preserve">Информацию о получении налоговым органом расчета сбора плательщик получает через КН. Информация о порядке представления расчета сбора в электронном виде размещена на сайте уполномоченного налогового органа www.sti.gov.kg.</w:t>
      </w:r>
    </w:p>
    <w:p>
      <w:pPr>
        <w:spacing w:after="120"/>
        <w:ind w:firstLine="397"/>
        <w:jc w:val="both"/>
      </w:pPr>
      <w:r>
        <w:rPr>
          <w:rFonts w:ascii="Arial" w:cs="Arial" w:eastAsia="Arial" w:hAnsi="Arial"/>
          <w:sz w:val="24"/>
          <w:szCs w:val="24"/>
        </w:rPr>
        <w:t xml:space="preserve">40. Разделы, заполняемые плательщиками в расчете по сбору за удержание лицензий на право пользования недрами при поиске, разведке и разработке (на стадии проектирования) - FORM STI-176 по форме согласно </w:t>
      </w:r>
      <w:hyperlink w:history="1" r:id="rIdhu2_htjmjxb_l8pzwlx5i">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настоящему Порядку:</w:t>
      </w:r>
    </w:p>
    <w:p>
      <w:pPr>
        <w:spacing w:after="120"/>
        <w:ind w:firstLine="397"/>
        <w:jc w:val="both"/>
      </w:pPr>
      <w:r>
        <w:rPr>
          <w:rFonts w:ascii="Arial" w:cs="Arial" w:eastAsia="Arial" w:hAnsi="Arial"/>
          <w:sz w:val="24"/>
          <w:szCs w:val="24"/>
        </w:rPr>
        <w:t xml:space="preserve">1) в ячейке 001:</w:t>
      </w:r>
    </w:p>
    <w:p>
      <w:pPr>
        <w:spacing w:after="120"/>
        <w:ind w:firstLine="397"/>
        <w:jc w:val="both"/>
      </w:pPr>
      <w:r>
        <w:rPr>
          <w:rFonts w:ascii="Arial" w:cs="Arial" w:eastAsia="Arial" w:hAnsi="Arial"/>
          <w:sz w:val="24"/>
          <w:szCs w:val="24"/>
        </w:rPr>
        <w:t xml:space="preserve">- «первоначальный» указывается отметкой «X», когда отчетность сдается впервые;</w:t>
      </w:r>
    </w:p>
    <w:p>
      <w:pPr>
        <w:spacing w:after="120"/>
        <w:ind w:firstLine="397"/>
        <w:jc w:val="both"/>
      </w:pPr>
      <w:r>
        <w:rPr>
          <w:rFonts w:ascii="Arial" w:cs="Arial" w:eastAsia="Arial" w:hAnsi="Arial"/>
          <w:sz w:val="24"/>
          <w:szCs w:val="24"/>
        </w:rPr>
        <w:t xml:space="preserve">- «уточненный» указывается отметкой «X», когда вносятся изменения в ранее предоставленное первоначальное начисление, в случае обнаружения факта неотражения или неполного отражения операций, а также в случае владения лицензией менее календарного года, ошибок и в случаях, приводящих к изменению суммы сбора;</w:t>
      </w:r>
    </w:p>
    <w:p>
      <w:pPr>
        <w:spacing w:after="120"/>
        <w:ind w:firstLine="397"/>
        <w:jc w:val="both"/>
      </w:pPr>
      <w:r>
        <w:rPr>
          <w:rFonts w:ascii="Arial" w:cs="Arial" w:eastAsia="Arial" w:hAnsi="Arial"/>
          <w:sz w:val="24"/>
          <w:szCs w:val="24"/>
        </w:rPr>
        <w:t xml:space="preserve">- в случае если отчет сдается в связи с ликвидацией плательщика, отметка в виде знака «X» ставится в ячейке «ликвидационный»;</w:t>
      </w:r>
    </w:p>
    <w:p>
      <w:pPr>
        <w:spacing w:after="120"/>
        <w:ind w:firstLine="397"/>
        <w:jc w:val="both"/>
      </w:pPr>
      <w:r>
        <w:rPr>
          <w:rFonts w:ascii="Arial" w:cs="Arial" w:eastAsia="Arial" w:hAnsi="Arial"/>
          <w:sz w:val="24"/>
          <w:szCs w:val="24"/>
        </w:rPr>
        <w:t xml:space="preserve">- в нижней части отчета указываются полные имя, фамилия, отчество лица, подписавшего отчет;</w:t>
      </w:r>
    </w:p>
    <w:p>
      <w:pPr>
        <w:spacing w:after="120"/>
        <w:ind w:firstLine="397"/>
        <w:jc w:val="both"/>
      </w:pPr>
      <w:r>
        <w:rPr>
          <w:rFonts w:ascii="Arial" w:cs="Arial" w:eastAsia="Arial" w:hAnsi="Arial"/>
          <w:sz w:val="24"/>
          <w:szCs w:val="24"/>
        </w:rPr>
        <w:t xml:space="preserve">- в ячейке 901 указывается дата принятия отчета налоговым органом;</w:t>
      </w:r>
    </w:p>
    <w:p>
      <w:pPr>
        <w:spacing w:after="120"/>
        <w:ind w:firstLine="397"/>
        <w:jc w:val="both"/>
      </w:pPr>
      <w:r>
        <w:rPr>
          <w:rFonts w:ascii="Arial" w:cs="Arial" w:eastAsia="Arial" w:hAnsi="Arial"/>
          <w:sz w:val="24"/>
          <w:szCs w:val="24"/>
        </w:rPr>
        <w:t xml:space="preserve">- в ячейке 902 указывается ИНН сотрудника налогового органа, принявшего отчет.</w:t>
      </w:r>
    </w:p>
    <w:p>
      <w:pPr>
        <w:spacing w:after="120"/>
        <w:ind w:firstLine="397"/>
        <w:jc w:val="both"/>
      </w:pPr>
      <w:r>
        <w:rPr>
          <w:rFonts w:ascii="Arial" w:cs="Arial" w:eastAsia="Arial" w:hAnsi="Arial"/>
          <w:sz w:val="24"/>
          <w:szCs w:val="24"/>
        </w:rPr>
        <w:t xml:space="preserve">41. Раздел I. Информация о плательщике:</w:t>
      </w:r>
    </w:p>
    <w:p>
      <w:pPr>
        <w:spacing w:after="120"/>
        <w:ind w:firstLine="397"/>
        <w:jc w:val="both"/>
      </w:pPr>
      <w:r>
        <w:rPr>
          <w:rFonts w:ascii="Arial" w:cs="Arial" w:eastAsia="Arial" w:hAnsi="Arial"/>
          <w:sz w:val="24"/>
          <w:szCs w:val="24"/>
        </w:rPr>
        <w:t xml:space="preserve">- в ячейке 102 указывается идентификационный налоговый номер плательщика;</w:t>
      </w:r>
    </w:p>
    <w:p>
      <w:pPr>
        <w:spacing w:after="120"/>
        <w:ind w:firstLine="397"/>
        <w:jc w:val="both"/>
      </w:pPr>
      <w:r>
        <w:rPr>
          <w:rFonts w:ascii="Arial" w:cs="Arial" w:eastAsia="Arial" w:hAnsi="Arial"/>
          <w:sz w:val="24"/>
          <w:szCs w:val="24"/>
        </w:rPr>
        <w:t xml:space="preserve">- в ячейке 103 указывается название объекта недропользования;</w:t>
      </w:r>
    </w:p>
    <w:p>
      <w:pPr>
        <w:spacing w:after="120"/>
        <w:ind w:firstLine="397"/>
        <w:jc w:val="both"/>
      </w:pPr>
      <w:r>
        <w:rPr>
          <w:rFonts w:ascii="Arial" w:cs="Arial" w:eastAsia="Arial" w:hAnsi="Arial"/>
          <w:sz w:val="24"/>
          <w:szCs w:val="24"/>
        </w:rPr>
        <w:t xml:space="preserve">- в ячейке 104 указываются код и наименование налогового органа;</w:t>
      </w:r>
    </w:p>
    <w:p>
      <w:pPr>
        <w:spacing w:after="120"/>
        <w:ind w:firstLine="397"/>
        <w:jc w:val="both"/>
      </w:pPr>
      <w:r>
        <w:rPr>
          <w:rFonts w:ascii="Arial" w:cs="Arial" w:eastAsia="Arial" w:hAnsi="Arial"/>
          <w:sz w:val="24"/>
          <w:szCs w:val="24"/>
        </w:rPr>
        <w:t xml:space="preserve">- в ячейке 105 указывается номер лицензии;</w:t>
      </w:r>
    </w:p>
    <w:p>
      <w:pPr>
        <w:spacing w:after="120"/>
        <w:ind w:firstLine="397"/>
        <w:jc w:val="both"/>
      </w:pPr>
      <w:r>
        <w:rPr>
          <w:rFonts w:ascii="Arial" w:cs="Arial" w:eastAsia="Arial" w:hAnsi="Arial"/>
          <w:sz w:val="24"/>
          <w:szCs w:val="24"/>
        </w:rPr>
        <w:t xml:space="preserve">- в ячейке 107 указывается код ОКПО, присвоенный органом статистики при регистрации плательщика;</w:t>
      </w:r>
    </w:p>
    <w:p>
      <w:pPr>
        <w:spacing w:after="120"/>
        <w:ind w:firstLine="397"/>
        <w:jc w:val="both"/>
      </w:pPr>
      <w:r>
        <w:rPr>
          <w:rFonts w:ascii="Arial" w:cs="Arial" w:eastAsia="Arial" w:hAnsi="Arial"/>
          <w:sz w:val="24"/>
          <w:szCs w:val="24"/>
        </w:rPr>
        <w:t xml:space="preserve">- в ячейке 112 указывается индекс почтового отделения по месту фактического местонахождения плательщика;</w:t>
      </w:r>
    </w:p>
    <w:p>
      <w:pPr>
        <w:spacing w:after="120"/>
        <w:ind w:firstLine="397"/>
        <w:jc w:val="both"/>
      </w:pPr>
      <w:r>
        <w:rPr>
          <w:rFonts w:ascii="Arial" w:cs="Arial" w:eastAsia="Arial" w:hAnsi="Arial"/>
          <w:sz w:val="24"/>
          <w:szCs w:val="24"/>
        </w:rPr>
        <w:t xml:space="preserve">- в ячейке 113 указывается наименование населенного пункта, в котором фактически находится плательщик (область, район, город, село);</w:t>
      </w:r>
    </w:p>
    <w:p>
      <w:pPr>
        <w:spacing w:after="120"/>
        <w:ind w:firstLine="397"/>
        <w:jc w:val="both"/>
      </w:pPr>
      <w:r>
        <w:rPr>
          <w:rFonts w:ascii="Arial" w:cs="Arial" w:eastAsia="Arial" w:hAnsi="Arial"/>
          <w:sz w:val="24"/>
          <w:szCs w:val="24"/>
        </w:rPr>
        <w:t xml:space="preserve">- в ячейке 114 указываются улица, микрорайон, № дома, офиса, квартиры;</w:t>
      </w:r>
    </w:p>
    <w:p>
      <w:pPr>
        <w:spacing w:after="120"/>
        <w:ind w:firstLine="397"/>
        <w:jc w:val="both"/>
      </w:pPr>
      <w:r>
        <w:rPr>
          <w:rFonts w:ascii="Arial" w:cs="Arial" w:eastAsia="Arial" w:hAnsi="Arial"/>
          <w:sz w:val="24"/>
          <w:szCs w:val="24"/>
        </w:rPr>
        <w:t xml:space="preserve">- в ячейке 115 указывается контактный телефон;</w:t>
      </w:r>
    </w:p>
    <w:p>
      <w:pPr>
        <w:spacing w:after="120"/>
        <w:ind w:firstLine="397"/>
        <w:jc w:val="both"/>
      </w:pPr>
      <w:r>
        <w:rPr>
          <w:rFonts w:ascii="Arial" w:cs="Arial" w:eastAsia="Arial" w:hAnsi="Arial"/>
          <w:sz w:val="24"/>
          <w:szCs w:val="24"/>
        </w:rPr>
        <w:t xml:space="preserve">- в ячейке 116 указывается адрес электронной почты;</w:t>
      </w:r>
    </w:p>
    <w:p>
      <w:pPr>
        <w:spacing w:after="120"/>
        <w:ind w:firstLine="397"/>
        <w:jc w:val="both"/>
      </w:pPr>
      <w:r>
        <w:rPr>
          <w:rFonts w:ascii="Arial" w:cs="Arial" w:eastAsia="Arial" w:hAnsi="Arial"/>
          <w:sz w:val="24"/>
          <w:szCs w:val="24"/>
        </w:rPr>
        <w:t xml:space="preserve">- в ячейке 117 указывается вид бюджета - республиканский, местный;</w:t>
      </w:r>
    </w:p>
    <w:p>
      <w:pPr>
        <w:spacing w:after="120"/>
        <w:ind w:firstLine="397"/>
        <w:jc w:val="both"/>
      </w:pPr>
      <w:r>
        <w:rPr>
          <w:rFonts w:ascii="Arial" w:cs="Arial" w:eastAsia="Arial" w:hAnsi="Arial"/>
          <w:sz w:val="24"/>
          <w:szCs w:val="24"/>
        </w:rPr>
        <w:t xml:space="preserve">- в ячейке 201 указывается дата начала отчетного периода, за который предоставляется расчет (день, месяц и год);</w:t>
      </w:r>
    </w:p>
    <w:p>
      <w:pPr>
        <w:spacing w:after="120"/>
        <w:ind w:firstLine="397"/>
        <w:jc w:val="both"/>
      </w:pPr>
      <w:r>
        <w:rPr>
          <w:rFonts w:ascii="Arial" w:cs="Arial" w:eastAsia="Arial" w:hAnsi="Arial"/>
          <w:sz w:val="24"/>
          <w:szCs w:val="24"/>
        </w:rPr>
        <w:t xml:space="preserve">- в ячейке 202 указывается дата последнего дня отчетного периода, за который представляется отчет (день, месяц и год);</w:t>
      </w:r>
    </w:p>
    <w:p>
      <w:pPr>
        <w:spacing w:after="120"/>
        <w:ind w:firstLine="397"/>
        <w:jc w:val="both"/>
      </w:pPr>
      <w:r>
        <w:rPr>
          <w:rFonts w:ascii="Arial" w:cs="Arial" w:eastAsia="Arial" w:hAnsi="Arial"/>
          <w:sz w:val="24"/>
          <w:szCs w:val="24"/>
        </w:rPr>
        <w:t xml:space="preserve">- в ячейке 203 указывается дата начала срока действия лицензии (день, месяц и год);</w:t>
      </w:r>
    </w:p>
    <w:p>
      <w:pPr>
        <w:spacing w:after="120"/>
        <w:ind w:firstLine="397"/>
        <w:jc w:val="both"/>
      </w:pPr>
      <w:r>
        <w:rPr>
          <w:rFonts w:ascii="Arial" w:cs="Arial" w:eastAsia="Arial" w:hAnsi="Arial"/>
          <w:sz w:val="24"/>
          <w:szCs w:val="24"/>
        </w:rPr>
        <w:t xml:space="preserve">- в ячейке 204 указывается дата последнего дня срока действия лицензии (день, месяц и год).</w:t>
      </w:r>
    </w:p>
    <w:p>
      <w:pPr>
        <w:spacing w:after="120"/>
        <w:ind w:firstLine="397"/>
        <w:jc w:val="both"/>
      </w:pPr>
      <w:r>
        <w:rPr>
          <w:rFonts w:ascii="Arial" w:cs="Arial" w:eastAsia="Arial" w:hAnsi="Arial"/>
          <w:sz w:val="24"/>
          <w:szCs w:val="24"/>
        </w:rPr>
        <w:t xml:space="preserve">42. Раздел II. Расчет сбора за удержание лицензии на право пользования недрами:</w:t>
      </w:r>
    </w:p>
    <w:p>
      <w:pPr>
        <w:spacing w:after="120"/>
        <w:ind w:firstLine="397"/>
        <w:jc w:val="both"/>
      </w:pPr>
      <w:r>
        <w:rPr>
          <w:rFonts w:ascii="Arial" w:cs="Arial" w:eastAsia="Arial" w:hAnsi="Arial"/>
          <w:sz w:val="24"/>
          <w:szCs w:val="24"/>
        </w:rPr>
        <w:t xml:space="preserve">- в графе 1 указывается вид недропользования (поиск, разведка);</w:t>
      </w:r>
    </w:p>
    <w:p>
      <w:pPr>
        <w:spacing w:after="120"/>
        <w:ind w:firstLine="397"/>
        <w:jc w:val="both"/>
      </w:pPr>
      <w:r>
        <w:rPr>
          <w:rFonts w:ascii="Arial" w:cs="Arial" w:eastAsia="Arial" w:hAnsi="Arial"/>
          <w:sz w:val="24"/>
          <w:szCs w:val="24"/>
        </w:rPr>
        <w:t xml:space="preserve">- в графе 2 указывается вид бюджета: республиканский или местный;</w:t>
      </w:r>
    </w:p>
    <w:p>
      <w:pPr>
        <w:spacing w:after="120"/>
        <w:ind w:firstLine="397"/>
        <w:jc w:val="both"/>
      </w:pPr>
      <w:r>
        <w:rPr>
          <w:rFonts w:ascii="Arial" w:cs="Arial" w:eastAsia="Arial" w:hAnsi="Arial"/>
          <w:sz w:val="24"/>
          <w:szCs w:val="24"/>
        </w:rPr>
        <w:t xml:space="preserve">- в графе 3 указывается местонахождение земельного участка (город, айыльный аймак);</w:t>
      </w:r>
    </w:p>
    <w:p>
      <w:pPr>
        <w:spacing w:after="120"/>
        <w:ind w:firstLine="397"/>
        <w:jc w:val="both"/>
      </w:pPr>
      <w:r>
        <w:rPr>
          <w:rFonts w:ascii="Arial" w:cs="Arial" w:eastAsia="Arial" w:hAnsi="Arial"/>
          <w:sz w:val="24"/>
          <w:szCs w:val="24"/>
        </w:rPr>
        <w:t xml:space="preserve">- в графе 4 указывается через всплывающий список виды полезных ископаемых;</w:t>
      </w:r>
    </w:p>
    <w:p>
      <w:pPr>
        <w:spacing w:after="120"/>
        <w:ind w:firstLine="397"/>
        <w:jc w:val="both"/>
      </w:pPr>
      <w:r>
        <w:rPr>
          <w:rFonts w:ascii="Arial" w:cs="Arial" w:eastAsia="Arial" w:hAnsi="Arial"/>
          <w:sz w:val="24"/>
          <w:szCs w:val="24"/>
        </w:rPr>
        <w:t xml:space="preserve">- в графе 5 указываются сроки владения лицензией, количество по годам;</w:t>
      </w:r>
    </w:p>
    <w:p>
      <w:pPr>
        <w:spacing w:after="120"/>
        <w:ind w:firstLine="397"/>
        <w:jc w:val="both"/>
      </w:pPr>
      <w:r>
        <w:rPr>
          <w:rFonts w:ascii="Arial" w:cs="Arial" w:eastAsia="Arial" w:hAnsi="Arial"/>
          <w:sz w:val="24"/>
          <w:szCs w:val="24"/>
        </w:rPr>
        <w:t xml:space="preserve">- в графе 6 указываются сроки владения лицензией по месяцам, владение лицензией за текущий год;</w:t>
      </w:r>
    </w:p>
    <w:p>
      <w:pPr>
        <w:spacing w:after="120"/>
        <w:ind w:firstLine="397"/>
        <w:jc w:val="both"/>
      </w:pPr>
      <w:r>
        <w:rPr>
          <w:rFonts w:ascii="Arial" w:cs="Arial" w:eastAsia="Arial" w:hAnsi="Arial"/>
          <w:sz w:val="24"/>
          <w:szCs w:val="24"/>
        </w:rPr>
        <w:t xml:space="preserve">- в графе 7 указывается размер площади (в квадратных метрах) лицензии на право пользования недрами;</w:t>
      </w:r>
    </w:p>
    <w:p>
      <w:pPr>
        <w:spacing w:after="120"/>
        <w:ind w:firstLine="397"/>
        <w:jc w:val="both"/>
      </w:pPr>
      <w:r>
        <w:rPr>
          <w:rFonts w:ascii="Arial" w:cs="Arial" w:eastAsia="Arial" w:hAnsi="Arial"/>
          <w:sz w:val="24"/>
          <w:szCs w:val="24"/>
        </w:rPr>
        <w:t xml:space="preserve">- в графе 8 на ячейках указываются ставки сбора за удержание лицензий на право пользования недрами при поиске полезных ископаемых согласно </w:t>
      </w:r>
      <w:hyperlink w:history="1" r:id="rIdm2kwuvloqhnwwevf7lfn0">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при разведке полезных ископаемых - согласно </w:t>
      </w:r>
      <w:hyperlink w:history="1" r:id="rIdhmgmyq78b61zbfk9vafox">
        <w:r>
          <w:rPr>
            <w:rFonts w:ascii="Arial" w:cs="Arial" w:eastAsia="Arial" w:hAnsi="Arial"/>
            <w:color w:val="1D4ED8"/>
            <w:sz w:val="24"/>
            <w:szCs w:val="24"/>
            <w:u w:val="single"/>
          </w:rPr>
          <w:t xml:space="preserve">приложению 3</w:t>
        </w:r>
      </w:hyperlink>
      <w:r>
        <w:rPr>
          <w:rFonts w:ascii="Arial" w:cs="Arial" w:eastAsia="Arial" w:hAnsi="Arial"/>
          <w:sz w:val="24"/>
          <w:szCs w:val="24"/>
        </w:rPr>
        <w:t xml:space="preserve"> к постановлению Кабинета Министров Кыргызской Республики «Об утверждении ставок и Порядка начисления, уплаты сбора и взыскания задолженности по сбору за удержание лицензий на право пользования недрами» от 12 августа 2022 года № 449;</w:t>
      </w:r>
    </w:p>
    <w:p>
      <w:pPr>
        <w:spacing w:after="120"/>
        <w:ind w:firstLine="397"/>
        <w:jc w:val="both"/>
      </w:pPr>
      <w:r>
        <w:rPr>
          <w:rFonts w:ascii="Arial" w:cs="Arial" w:eastAsia="Arial" w:hAnsi="Arial"/>
          <w:sz w:val="24"/>
          <w:szCs w:val="24"/>
        </w:rPr>
        <w:t xml:space="preserve">- в графе 9 указывается расчетный показатель (МРП), то есть РП - расчетный показатель согласно </w:t>
      </w:r>
      <w:hyperlink w:history="1" r:id="rIdi5xyq7uwsah0-ypa3doa0">
        <w:r>
          <w:rPr>
            <w:rFonts w:ascii="Arial" w:cs="Arial" w:eastAsia="Arial" w:hAnsi="Arial"/>
            <w:color w:val="1D4ED8"/>
            <w:sz w:val="24"/>
            <w:szCs w:val="24"/>
            <w:u w:val="single"/>
          </w:rPr>
          <w:t xml:space="preserve">Закону</w:t>
        </w:r>
      </w:hyperlink>
      <w:r>
        <w:rPr>
          <w:rFonts w:ascii="Arial" w:cs="Arial" w:eastAsia="Arial" w:hAnsi="Arial"/>
          <w:sz w:val="24"/>
          <w:szCs w:val="24"/>
        </w:rPr>
        <w:t xml:space="preserve"> Кыргызской Республики «О расчетном показателе» - 100 сом;</w:t>
      </w:r>
    </w:p>
    <w:p>
      <w:pPr>
        <w:spacing w:after="120"/>
        <w:ind w:firstLine="397"/>
        <w:jc w:val="both"/>
      </w:pPr>
      <w:r>
        <w:rPr>
          <w:rFonts w:ascii="Arial" w:cs="Arial" w:eastAsia="Arial" w:hAnsi="Arial"/>
          <w:sz w:val="24"/>
          <w:szCs w:val="24"/>
        </w:rPr>
        <w:t xml:space="preserve">- в графе 10 указывается сумма сбора по формуле (графа 7 х графа 8 х графа 9);</w:t>
      </w:r>
    </w:p>
    <w:p>
      <w:pPr>
        <w:spacing w:after="120"/>
        <w:ind w:firstLine="397"/>
        <w:jc w:val="both"/>
      </w:pPr>
      <w:r>
        <w:rPr>
          <w:rFonts w:ascii="Arial" w:cs="Arial" w:eastAsia="Arial" w:hAnsi="Arial"/>
          <w:sz w:val="24"/>
          <w:szCs w:val="24"/>
        </w:rPr>
        <w:t xml:space="preserve">- в графе 11 указывается сумма сбора за месяц согласно формуле (графа 10/12 мес.), то есть годовая сумма делится на 12 месяцев (сумма платежа за год распределяется по месяцам);</w:t>
      </w:r>
    </w:p>
    <w:p>
      <w:pPr>
        <w:spacing w:after="120"/>
        <w:ind w:firstLine="397"/>
        <w:jc w:val="both"/>
      </w:pPr>
      <w:r>
        <w:rPr>
          <w:rFonts w:ascii="Arial" w:cs="Arial" w:eastAsia="Arial" w:hAnsi="Arial"/>
          <w:sz w:val="24"/>
          <w:szCs w:val="24"/>
        </w:rPr>
        <w:t xml:space="preserve">- в графе 12 указывается фактическая сумма сбора согласно формуле (графа 11 х графа 12), то есть полученное значение умножается на фактическое количество месяцев владения и распределяется по соответствующим месяцам;</w:t>
      </w:r>
    </w:p>
    <w:p>
      <w:pPr>
        <w:spacing w:after="120"/>
        <w:ind w:firstLine="397"/>
        <w:jc w:val="both"/>
      </w:pPr>
      <w:r>
        <w:rPr>
          <w:rFonts w:ascii="Arial" w:cs="Arial" w:eastAsia="Arial" w:hAnsi="Arial"/>
          <w:sz w:val="24"/>
          <w:szCs w:val="24"/>
        </w:rPr>
        <w:t xml:space="preserve">- в ячейке 512 указывается итоговая сумма сбора с графы 12, затем проставляются суммы сбора по месяцам владения с учетом изменений платежного обязательства;</w:t>
      </w:r>
    </w:p>
    <w:p>
      <w:pPr>
        <w:spacing w:after="120"/>
        <w:ind w:firstLine="397"/>
        <w:jc w:val="both"/>
      </w:pPr>
      <w:r>
        <w:rPr>
          <w:rFonts w:ascii="Arial" w:cs="Arial" w:eastAsia="Arial" w:hAnsi="Arial"/>
          <w:sz w:val="24"/>
          <w:szCs w:val="24"/>
        </w:rPr>
        <w:t xml:space="preserve">- в ячейках с 500 по 511 заполняется сумма сбора за удержание лицензий равными долями в течение текущего платежного периода и уплачивается ежемесячно в срок не позднее 20 числа месяца, следующего за отчетным месяцем.</w:t>
      </w:r>
    </w:p>
    <w:p>
      <w:pPr>
        <w:spacing w:after="120"/>
        <w:ind w:firstLine="397"/>
        <w:jc w:val="both"/>
      </w:pPr>
      <w:r>
        <w:rPr>
          <w:rFonts w:ascii="Arial" w:cs="Arial" w:eastAsia="Arial" w:hAnsi="Arial"/>
          <w:sz w:val="24"/>
          <w:szCs w:val="24"/>
        </w:rPr>
        <w:t xml:space="preserve">43. В случае владения лицензией менее календарного года, рассчитывается сумма сбора фактического владения лицензией, то есть годовая сумма сбора делится на 12 месяцев, затем полученное значение умножается на фактическое количество месяцев владения лицензией.</w:t>
      </w:r>
    </w:p>
    <w:p>
      <w:pPr>
        <w:spacing w:after="120"/>
        <w:ind w:firstLine="397"/>
        <w:jc w:val="both"/>
      </w:pPr>
      <w:r>
        <w:rPr>
          <w:rFonts w:ascii="Arial" w:cs="Arial" w:eastAsia="Arial" w:hAnsi="Arial"/>
          <w:sz w:val="24"/>
          <w:szCs w:val="24"/>
        </w:rPr>
        <w:t xml:space="preserve">В случае корректировки или перерасчета представляется уточненный расчет, проставляется сумма сбора по месяцам владения с учетом изменений обязательства плательщика.</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7. Порядок заполнения и представления отчета</w:t>
      </w:r>
    </w:p>
    <w:p>
      <w:pPr>
        <w:spacing w:after="240" w:before="200"/>
        <w:jc w:val="center"/>
      </w:pPr>
      <w:r>
        <w:rPr>
          <w:rFonts w:ascii="Arial" w:cs="Arial" w:eastAsia="Arial" w:hAnsi="Arial"/>
          <w:b/>
          <w:bCs/>
          <w:sz w:val="32"/>
          <w:szCs w:val="32"/>
        </w:rPr>
        <w:t xml:space="preserve">по сбору за удержание лицензий на право пользование</w:t>
      </w:r>
    </w:p>
    <w:p>
      <w:pPr>
        <w:spacing w:after="240" w:before="200"/>
        <w:jc w:val="center"/>
      </w:pPr>
      <w:r>
        <w:rPr>
          <w:rFonts w:ascii="Arial" w:cs="Arial" w:eastAsia="Arial" w:hAnsi="Arial"/>
          <w:b/>
          <w:bCs/>
          <w:sz w:val="32"/>
          <w:szCs w:val="32"/>
        </w:rPr>
        <w:t xml:space="preserve">недрами при разработке (на стадии проведения работ)</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44. Отчет сбора представляется через КН, электронный документ должен быть заверен электронной подписью плательщика. Плательщик получает информацию о получении отчетности по сбору налоговым органом через КН. Полная информация о порядке представления отчета сбора в электронном виде размещена на сайте уполномоченного налогового органа www.sti.gov.kg.</w:t>
      </w:r>
    </w:p>
    <w:p>
      <w:pPr>
        <w:spacing w:after="120"/>
        <w:ind w:firstLine="397"/>
        <w:jc w:val="both"/>
      </w:pPr>
      <w:r>
        <w:rPr>
          <w:rFonts w:ascii="Arial" w:cs="Arial" w:eastAsia="Arial" w:hAnsi="Arial"/>
          <w:sz w:val="24"/>
          <w:szCs w:val="24"/>
        </w:rPr>
        <w:t xml:space="preserve">45. Разделы, заполняемые в отчете по сбору за удержание лицензий на право пользования недрами при разработке (на стадии проведения работ) - FORM STI-177 по форме согласно </w:t>
      </w:r>
      <w:hyperlink w:history="1" r:id="rIdnswitjt23wbdrning2_v3">
        <w:r>
          <w:rPr>
            <w:rFonts w:ascii="Arial" w:cs="Arial" w:eastAsia="Arial" w:hAnsi="Arial"/>
            <w:color w:val="1D4ED8"/>
            <w:sz w:val="24"/>
            <w:szCs w:val="24"/>
            <w:u w:val="single"/>
          </w:rPr>
          <w:t xml:space="preserve">приложению 4</w:t>
        </w:r>
      </w:hyperlink>
      <w:r>
        <w:rPr>
          <w:rFonts w:ascii="Arial" w:cs="Arial" w:eastAsia="Arial" w:hAnsi="Arial"/>
          <w:sz w:val="24"/>
          <w:szCs w:val="24"/>
        </w:rPr>
        <w:t xml:space="preserve"> к настоящему Порядку:</w:t>
      </w:r>
    </w:p>
    <w:p>
      <w:pPr>
        <w:spacing w:after="120"/>
        <w:ind w:firstLine="397"/>
        <w:jc w:val="both"/>
      </w:pPr>
      <w:r>
        <w:rPr>
          <w:rFonts w:ascii="Arial" w:cs="Arial" w:eastAsia="Arial" w:hAnsi="Arial"/>
          <w:sz w:val="24"/>
          <w:szCs w:val="24"/>
        </w:rPr>
        <w:t xml:space="preserve">- в ячейке 001 - «первоначальный» указывается отметкой «X», когда отчетность сдается впервые;</w:t>
      </w:r>
    </w:p>
    <w:p>
      <w:pPr>
        <w:spacing w:after="120"/>
        <w:ind w:firstLine="397"/>
        <w:jc w:val="both"/>
      </w:pPr>
      <w:r>
        <w:rPr>
          <w:rFonts w:ascii="Arial" w:cs="Arial" w:eastAsia="Arial" w:hAnsi="Arial"/>
          <w:sz w:val="24"/>
          <w:szCs w:val="24"/>
        </w:rPr>
        <w:t xml:space="preserve">- «уточненный» указывается отметкой «X», когда вносятся изменения в ранее предоставленное первоначальное начисление, в случае обнаружения факта неотражения или неполного отражения операций, а также в случае владения объектом имущества менее календарного года, ошибок и в случаях, приводящих к изменению суммы платежа;</w:t>
      </w:r>
    </w:p>
    <w:p>
      <w:pPr>
        <w:spacing w:after="120"/>
        <w:ind w:firstLine="397"/>
        <w:jc w:val="both"/>
      </w:pPr>
      <w:r>
        <w:rPr>
          <w:rFonts w:ascii="Arial" w:cs="Arial" w:eastAsia="Arial" w:hAnsi="Arial"/>
          <w:sz w:val="24"/>
          <w:szCs w:val="24"/>
        </w:rPr>
        <w:t xml:space="preserve">- в случае, если отчет сдается в связи с ликвидацией плательщика, отметка в виде знака «X» ставится в ячейке «ликвидационный»;</w:t>
      </w:r>
    </w:p>
    <w:p>
      <w:pPr>
        <w:spacing w:after="120"/>
        <w:ind w:firstLine="397"/>
        <w:jc w:val="both"/>
      </w:pPr>
      <w:r>
        <w:rPr>
          <w:rFonts w:ascii="Arial" w:cs="Arial" w:eastAsia="Arial" w:hAnsi="Arial"/>
          <w:sz w:val="24"/>
          <w:szCs w:val="24"/>
        </w:rPr>
        <w:t xml:space="preserve">- в нижней части отчета указываются полные имя, фамилия, отчество лица, подписавшего отчет;</w:t>
      </w:r>
    </w:p>
    <w:p>
      <w:pPr>
        <w:spacing w:after="120"/>
        <w:ind w:firstLine="397"/>
        <w:jc w:val="both"/>
      </w:pPr>
      <w:r>
        <w:rPr>
          <w:rFonts w:ascii="Arial" w:cs="Arial" w:eastAsia="Arial" w:hAnsi="Arial"/>
          <w:sz w:val="24"/>
          <w:szCs w:val="24"/>
        </w:rPr>
        <w:t xml:space="preserve">- в ячейке 901 указывается дата принятия отчета налоговым органом;</w:t>
      </w:r>
    </w:p>
    <w:p>
      <w:pPr>
        <w:spacing w:after="120"/>
        <w:ind w:firstLine="397"/>
        <w:jc w:val="both"/>
      </w:pPr>
      <w:r>
        <w:rPr>
          <w:rFonts w:ascii="Arial" w:cs="Arial" w:eastAsia="Arial" w:hAnsi="Arial"/>
          <w:sz w:val="24"/>
          <w:szCs w:val="24"/>
        </w:rPr>
        <w:t xml:space="preserve">- в ячейке 902 указывается ИНН сотрудника налогового органа, принявшего отчет.</w:t>
      </w:r>
    </w:p>
    <w:p>
      <w:pPr>
        <w:spacing w:after="120"/>
        <w:ind w:firstLine="397"/>
        <w:jc w:val="both"/>
      </w:pPr>
      <w:r>
        <w:rPr>
          <w:rFonts w:ascii="Arial" w:cs="Arial" w:eastAsia="Arial" w:hAnsi="Arial"/>
          <w:sz w:val="24"/>
          <w:szCs w:val="24"/>
        </w:rPr>
        <w:t xml:space="preserve">46. Раздел I. Информация о плательщике:</w:t>
      </w:r>
    </w:p>
    <w:p>
      <w:pPr>
        <w:spacing w:after="120"/>
        <w:ind w:firstLine="397"/>
        <w:jc w:val="both"/>
      </w:pPr>
      <w:r>
        <w:rPr>
          <w:rFonts w:ascii="Arial" w:cs="Arial" w:eastAsia="Arial" w:hAnsi="Arial"/>
          <w:sz w:val="24"/>
          <w:szCs w:val="24"/>
        </w:rPr>
        <w:t xml:space="preserve">- в ячейке 102 указывается идентификационный налоговый номер плательщика;</w:t>
      </w:r>
    </w:p>
    <w:p>
      <w:pPr>
        <w:spacing w:after="120"/>
        <w:ind w:firstLine="397"/>
        <w:jc w:val="both"/>
      </w:pPr>
      <w:r>
        <w:rPr>
          <w:rFonts w:ascii="Arial" w:cs="Arial" w:eastAsia="Arial" w:hAnsi="Arial"/>
          <w:sz w:val="24"/>
          <w:szCs w:val="24"/>
        </w:rPr>
        <w:t xml:space="preserve">- в ячейке 103 указывается название объекта недропользования;</w:t>
      </w:r>
    </w:p>
    <w:p>
      <w:pPr>
        <w:spacing w:after="120"/>
        <w:ind w:firstLine="397"/>
        <w:jc w:val="both"/>
      </w:pPr>
      <w:r>
        <w:rPr>
          <w:rFonts w:ascii="Arial" w:cs="Arial" w:eastAsia="Arial" w:hAnsi="Arial"/>
          <w:sz w:val="24"/>
          <w:szCs w:val="24"/>
        </w:rPr>
        <w:t xml:space="preserve">- в ячейке 104 указываются код и наименование налогового органа;</w:t>
      </w:r>
    </w:p>
    <w:p>
      <w:pPr>
        <w:spacing w:after="120"/>
        <w:ind w:firstLine="397"/>
        <w:jc w:val="both"/>
      </w:pPr>
      <w:r>
        <w:rPr>
          <w:rFonts w:ascii="Arial" w:cs="Arial" w:eastAsia="Arial" w:hAnsi="Arial"/>
          <w:sz w:val="24"/>
          <w:szCs w:val="24"/>
        </w:rPr>
        <w:t xml:space="preserve">- в ячейке 105 указывается номер лицензии;</w:t>
      </w:r>
    </w:p>
    <w:p>
      <w:pPr>
        <w:spacing w:after="120"/>
        <w:ind w:firstLine="397"/>
        <w:jc w:val="both"/>
      </w:pPr>
      <w:r>
        <w:rPr>
          <w:rFonts w:ascii="Arial" w:cs="Arial" w:eastAsia="Arial" w:hAnsi="Arial"/>
          <w:sz w:val="24"/>
          <w:szCs w:val="24"/>
        </w:rPr>
        <w:t xml:space="preserve">- в ячейке 107 указывается код ОКПО, присвоенный органом статистики при регистрации плательщика;</w:t>
      </w:r>
    </w:p>
    <w:p>
      <w:pPr>
        <w:spacing w:after="120"/>
        <w:ind w:firstLine="397"/>
        <w:jc w:val="both"/>
      </w:pPr>
      <w:r>
        <w:rPr>
          <w:rFonts w:ascii="Arial" w:cs="Arial" w:eastAsia="Arial" w:hAnsi="Arial"/>
          <w:sz w:val="24"/>
          <w:szCs w:val="24"/>
        </w:rPr>
        <w:t xml:space="preserve">- в ячейке 112 указывается индекс почтового отделения по месту фактического местонахождения плательщика;</w:t>
      </w:r>
    </w:p>
    <w:p>
      <w:pPr>
        <w:spacing w:after="120"/>
        <w:ind w:firstLine="397"/>
        <w:jc w:val="both"/>
      </w:pPr>
      <w:r>
        <w:rPr>
          <w:rFonts w:ascii="Arial" w:cs="Arial" w:eastAsia="Arial" w:hAnsi="Arial"/>
          <w:sz w:val="24"/>
          <w:szCs w:val="24"/>
        </w:rPr>
        <w:t xml:space="preserve">- в ячейке 113 указываются наименование населенного пункта, в котором фактически находится плательщик (область, район, город, село);</w:t>
      </w:r>
    </w:p>
    <w:p>
      <w:pPr>
        <w:spacing w:after="120"/>
        <w:ind w:firstLine="397"/>
        <w:jc w:val="both"/>
      </w:pPr>
      <w:r>
        <w:rPr>
          <w:rFonts w:ascii="Arial" w:cs="Arial" w:eastAsia="Arial" w:hAnsi="Arial"/>
          <w:sz w:val="24"/>
          <w:szCs w:val="24"/>
        </w:rPr>
        <w:t xml:space="preserve">- в ячейке 114 указываются улица, микрорайон, № дома, офиса, квартиры;</w:t>
      </w:r>
    </w:p>
    <w:p>
      <w:pPr>
        <w:spacing w:after="120"/>
        <w:ind w:firstLine="397"/>
        <w:jc w:val="both"/>
      </w:pPr>
      <w:r>
        <w:rPr>
          <w:rFonts w:ascii="Arial" w:cs="Arial" w:eastAsia="Arial" w:hAnsi="Arial"/>
          <w:sz w:val="24"/>
          <w:szCs w:val="24"/>
        </w:rPr>
        <w:t xml:space="preserve">- в ячейке 115 указывается контактный телефон;</w:t>
      </w:r>
    </w:p>
    <w:p>
      <w:pPr>
        <w:spacing w:after="120"/>
        <w:ind w:firstLine="397"/>
        <w:jc w:val="both"/>
      </w:pPr>
      <w:r>
        <w:rPr>
          <w:rFonts w:ascii="Arial" w:cs="Arial" w:eastAsia="Arial" w:hAnsi="Arial"/>
          <w:sz w:val="24"/>
          <w:szCs w:val="24"/>
        </w:rPr>
        <w:t xml:space="preserve">- в ячейке 116 указывается адрес электронной почты;</w:t>
      </w:r>
    </w:p>
    <w:p>
      <w:pPr>
        <w:spacing w:after="120"/>
        <w:ind w:firstLine="397"/>
        <w:jc w:val="both"/>
      </w:pPr>
      <w:r>
        <w:rPr>
          <w:rFonts w:ascii="Arial" w:cs="Arial" w:eastAsia="Arial" w:hAnsi="Arial"/>
          <w:sz w:val="24"/>
          <w:szCs w:val="24"/>
        </w:rPr>
        <w:t xml:space="preserve">- в ячейке 117 указывается вид бюджета: республиканский, местный;</w:t>
      </w:r>
    </w:p>
    <w:p>
      <w:pPr>
        <w:spacing w:after="120"/>
        <w:ind w:firstLine="397"/>
        <w:jc w:val="both"/>
      </w:pPr>
      <w:r>
        <w:rPr>
          <w:rFonts w:ascii="Arial" w:cs="Arial" w:eastAsia="Arial" w:hAnsi="Arial"/>
          <w:sz w:val="24"/>
          <w:szCs w:val="24"/>
        </w:rPr>
        <w:t xml:space="preserve">- в ячейке 201 указывается дата начала отчетного периода, за который предоставляется отчет сбора (день, месяц и год);</w:t>
      </w:r>
    </w:p>
    <w:p>
      <w:pPr>
        <w:spacing w:after="120"/>
        <w:ind w:firstLine="397"/>
        <w:jc w:val="both"/>
      </w:pPr>
      <w:r>
        <w:rPr>
          <w:rFonts w:ascii="Arial" w:cs="Arial" w:eastAsia="Arial" w:hAnsi="Arial"/>
          <w:sz w:val="24"/>
          <w:szCs w:val="24"/>
        </w:rPr>
        <w:t xml:space="preserve">- в ячейке 202 указывается дата последнего дня отчетного периода, за который представляется отчет (день, месяц и год);</w:t>
      </w:r>
    </w:p>
    <w:p>
      <w:pPr>
        <w:spacing w:after="120"/>
        <w:ind w:firstLine="397"/>
        <w:jc w:val="both"/>
      </w:pPr>
      <w:r>
        <w:rPr>
          <w:rFonts w:ascii="Arial" w:cs="Arial" w:eastAsia="Arial" w:hAnsi="Arial"/>
          <w:sz w:val="24"/>
          <w:szCs w:val="24"/>
        </w:rPr>
        <w:t xml:space="preserve">- в ячейке 203 указывается дата начала срока действия лицензии (день, месяц и год);</w:t>
      </w:r>
    </w:p>
    <w:p>
      <w:pPr>
        <w:spacing w:after="120"/>
        <w:ind w:firstLine="397"/>
        <w:jc w:val="both"/>
      </w:pPr>
      <w:r>
        <w:rPr>
          <w:rFonts w:ascii="Arial" w:cs="Arial" w:eastAsia="Arial" w:hAnsi="Arial"/>
          <w:sz w:val="24"/>
          <w:szCs w:val="24"/>
        </w:rPr>
        <w:t xml:space="preserve">- в ячейке 204 указывается дата последнего дня срока действия лицензии (день, месяц и год).</w:t>
      </w:r>
    </w:p>
    <w:p>
      <w:pPr>
        <w:spacing w:after="120"/>
        <w:ind w:firstLine="397"/>
        <w:jc w:val="both"/>
      </w:pPr>
      <w:r>
        <w:rPr>
          <w:rFonts w:ascii="Arial" w:cs="Arial" w:eastAsia="Arial" w:hAnsi="Arial"/>
          <w:sz w:val="24"/>
          <w:szCs w:val="24"/>
        </w:rPr>
        <w:t xml:space="preserve">47. Раздел II. Расчет сбора за удержание лицензий на право пользования недрами:</w:t>
      </w:r>
    </w:p>
    <w:p>
      <w:pPr>
        <w:spacing w:after="120"/>
        <w:ind w:firstLine="397"/>
        <w:jc w:val="both"/>
      </w:pPr>
      <w:r>
        <w:rPr>
          <w:rFonts w:ascii="Arial" w:cs="Arial" w:eastAsia="Arial" w:hAnsi="Arial"/>
          <w:sz w:val="24"/>
          <w:szCs w:val="24"/>
        </w:rPr>
        <w:t xml:space="preserve">- в графе 1 указывается через всплывающий список вид полезных ископаемых;</w:t>
      </w:r>
    </w:p>
    <w:p>
      <w:pPr>
        <w:spacing w:after="120"/>
        <w:ind w:firstLine="397"/>
        <w:jc w:val="both"/>
      </w:pPr>
      <w:r>
        <w:rPr>
          <w:rFonts w:ascii="Arial" w:cs="Arial" w:eastAsia="Arial" w:hAnsi="Arial"/>
          <w:sz w:val="24"/>
          <w:szCs w:val="24"/>
        </w:rPr>
        <w:t xml:space="preserve">- в графе 2 указывается вид бюджета - республиканский или местный;</w:t>
      </w:r>
    </w:p>
    <w:p>
      <w:pPr>
        <w:spacing w:after="120"/>
        <w:ind w:firstLine="397"/>
        <w:jc w:val="both"/>
      </w:pPr>
      <w:r>
        <w:rPr>
          <w:rFonts w:ascii="Arial" w:cs="Arial" w:eastAsia="Arial" w:hAnsi="Arial"/>
          <w:sz w:val="24"/>
          <w:szCs w:val="24"/>
        </w:rPr>
        <w:t xml:space="preserve">- в графе 3 указывается местонахождение земельного участка (город, айыльный аймак);</w:t>
      </w:r>
    </w:p>
    <w:p>
      <w:pPr>
        <w:spacing w:after="120"/>
        <w:ind w:firstLine="397"/>
        <w:jc w:val="both"/>
      </w:pPr>
      <w:r>
        <w:rPr>
          <w:rFonts w:ascii="Arial" w:cs="Arial" w:eastAsia="Arial" w:hAnsi="Arial"/>
          <w:sz w:val="24"/>
          <w:szCs w:val="24"/>
        </w:rPr>
        <w:t xml:space="preserve">- в графе 4 указываются сроки владения лицензией (год);</w:t>
      </w:r>
    </w:p>
    <w:p>
      <w:pPr>
        <w:spacing w:after="120"/>
        <w:ind w:firstLine="397"/>
        <w:jc w:val="both"/>
      </w:pPr>
      <w:r>
        <w:rPr>
          <w:rFonts w:ascii="Arial" w:cs="Arial" w:eastAsia="Arial" w:hAnsi="Arial"/>
          <w:sz w:val="24"/>
          <w:szCs w:val="24"/>
        </w:rPr>
        <w:t xml:space="preserve">- в графе 5 на ячейках отражается размер площади, указанный на лицензии, в квадратных метрах;</w:t>
      </w:r>
    </w:p>
    <w:p>
      <w:pPr>
        <w:spacing w:after="120"/>
        <w:ind w:firstLine="397"/>
        <w:jc w:val="both"/>
      </w:pPr>
      <w:r>
        <w:rPr>
          <w:rFonts w:ascii="Arial" w:cs="Arial" w:eastAsia="Arial" w:hAnsi="Arial"/>
          <w:sz w:val="24"/>
          <w:szCs w:val="24"/>
        </w:rPr>
        <w:t xml:space="preserve">- в графе 6 указывается ставка сбора за квадратный метр и по годам согласно </w:t>
      </w:r>
      <w:hyperlink w:history="1" r:id="rIdpew6vmxzc-u9d4fqe68ul">
        <w:r>
          <w:rPr>
            <w:rFonts w:ascii="Arial" w:cs="Arial" w:eastAsia="Arial" w:hAnsi="Arial"/>
            <w:color w:val="1D4ED8"/>
            <w:sz w:val="24"/>
            <w:szCs w:val="24"/>
            <w:u w:val="single"/>
          </w:rPr>
          <w:t xml:space="preserve">приложению 4</w:t>
        </w:r>
      </w:hyperlink>
      <w:r>
        <w:rPr>
          <w:rFonts w:ascii="Arial" w:cs="Arial" w:eastAsia="Arial" w:hAnsi="Arial"/>
          <w:sz w:val="24"/>
          <w:szCs w:val="24"/>
        </w:rPr>
        <w:t xml:space="preserve"> к постановлению Кабинета Министров Кыргызской Республики «Об утверждении ставок и Порядка начисления, уплаты сбора и взыскания задолженности по сбору за удержание лицензий на право пользования недрами» от 12 августа 2022 года № 449;</w:t>
      </w:r>
    </w:p>
    <w:p>
      <w:pPr>
        <w:spacing w:after="120"/>
        <w:ind w:firstLine="397"/>
        <w:jc w:val="both"/>
      </w:pPr>
      <w:r>
        <w:rPr>
          <w:rFonts w:ascii="Arial" w:cs="Arial" w:eastAsia="Arial" w:hAnsi="Arial"/>
          <w:sz w:val="24"/>
          <w:szCs w:val="24"/>
        </w:rPr>
        <w:t xml:space="preserve">- в графе 7 указывается расчетный показатель (МРП), то есть РП - расчетный показатель согласно </w:t>
      </w:r>
      <w:hyperlink w:history="1" r:id="rIdlsqjis2uajps7mzgyzpiq">
        <w:r>
          <w:rPr>
            <w:rFonts w:ascii="Arial" w:cs="Arial" w:eastAsia="Arial" w:hAnsi="Arial"/>
            <w:color w:val="1D4ED8"/>
            <w:sz w:val="24"/>
            <w:szCs w:val="24"/>
            <w:u w:val="single"/>
          </w:rPr>
          <w:t xml:space="preserve">Закону</w:t>
        </w:r>
      </w:hyperlink>
      <w:r>
        <w:rPr>
          <w:rFonts w:ascii="Arial" w:cs="Arial" w:eastAsia="Arial" w:hAnsi="Arial"/>
          <w:sz w:val="24"/>
          <w:szCs w:val="24"/>
        </w:rPr>
        <w:t xml:space="preserve"> Кыргызской Республики «О расчетном показателе» - 100 сом;</w:t>
      </w:r>
    </w:p>
    <w:p>
      <w:pPr>
        <w:spacing w:after="120"/>
        <w:ind w:firstLine="397"/>
        <w:jc w:val="both"/>
      </w:pPr>
      <w:r>
        <w:rPr>
          <w:rFonts w:ascii="Arial" w:cs="Arial" w:eastAsia="Arial" w:hAnsi="Arial"/>
          <w:sz w:val="24"/>
          <w:szCs w:val="24"/>
        </w:rPr>
        <w:t xml:space="preserve">- в графе 8 указывается сумма сбора (графа 5 х графа 6 х графа 7);</w:t>
      </w:r>
    </w:p>
    <w:p>
      <w:pPr>
        <w:spacing w:after="120"/>
        <w:ind w:firstLine="397"/>
        <w:jc w:val="both"/>
      </w:pPr>
      <w:r>
        <w:rPr>
          <w:rFonts w:ascii="Arial" w:cs="Arial" w:eastAsia="Arial" w:hAnsi="Arial"/>
          <w:sz w:val="24"/>
          <w:szCs w:val="24"/>
        </w:rPr>
        <w:t xml:space="preserve">- в графе 9 указывается годовая добыча полезного ископаемого по условиям лицензионного соглашения;</w:t>
      </w:r>
    </w:p>
    <w:p>
      <w:pPr>
        <w:spacing w:after="120"/>
        <w:ind w:firstLine="397"/>
        <w:jc w:val="both"/>
      </w:pPr>
      <w:r>
        <w:rPr>
          <w:rFonts w:ascii="Arial" w:cs="Arial" w:eastAsia="Arial" w:hAnsi="Arial"/>
          <w:sz w:val="24"/>
          <w:szCs w:val="24"/>
        </w:rPr>
        <w:t xml:space="preserve">- в графе 10 указывается фактическая добыча за год;</w:t>
      </w:r>
    </w:p>
    <w:p>
      <w:pPr>
        <w:spacing w:after="120"/>
        <w:ind w:firstLine="397"/>
        <w:jc w:val="both"/>
      </w:pPr>
      <w:r>
        <w:rPr>
          <w:rFonts w:ascii="Arial" w:cs="Arial" w:eastAsia="Arial" w:hAnsi="Arial"/>
          <w:sz w:val="24"/>
          <w:szCs w:val="24"/>
        </w:rPr>
        <w:t xml:space="preserve">- в графе 11 указывается выполнение условий лицензионного соглашения в % (гр. 10 / гр. 9 х 100%);</w:t>
      </w:r>
    </w:p>
    <w:p>
      <w:pPr>
        <w:spacing w:after="120"/>
        <w:ind w:firstLine="397"/>
        <w:jc w:val="both"/>
      </w:pPr>
      <w:r>
        <w:rPr>
          <w:rFonts w:ascii="Arial" w:cs="Arial" w:eastAsia="Arial" w:hAnsi="Arial"/>
          <w:sz w:val="24"/>
          <w:szCs w:val="24"/>
        </w:rPr>
        <w:t xml:space="preserve">- в графе 12 указывается невыполнение условий лицензионного соглашения в % (гр. 9 - гр. 10) в %;</w:t>
      </w:r>
    </w:p>
    <w:p>
      <w:pPr>
        <w:spacing w:after="120"/>
        <w:ind w:firstLine="397"/>
        <w:jc w:val="both"/>
      </w:pPr>
      <w:r>
        <w:rPr>
          <w:rFonts w:ascii="Arial" w:cs="Arial" w:eastAsia="Arial" w:hAnsi="Arial"/>
          <w:sz w:val="24"/>
          <w:szCs w:val="24"/>
        </w:rPr>
        <w:t xml:space="preserve">- в графе 13 указывается сумма сбора (гр. 8 х гр. 12);</w:t>
      </w:r>
    </w:p>
    <w:p>
      <w:pPr>
        <w:spacing w:after="120"/>
        <w:ind w:firstLine="397"/>
        <w:jc w:val="both"/>
      </w:pPr>
      <w:r>
        <w:rPr>
          <w:rFonts w:ascii="Arial" w:cs="Arial" w:eastAsia="Arial" w:hAnsi="Arial"/>
          <w:sz w:val="24"/>
          <w:szCs w:val="24"/>
        </w:rPr>
        <w:t xml:space="preserve">- в ячейке 512 указывается итоговая сумма сбора;</w:t>
      </w:r>
    </w:p>
    <w:p>
      <w:pPr>
        <w:spacing w:after="120"/>
        <w:ind w:firstLine="397"/>
        <w:jc w:val="both"/>
      </w:pPr>
      <w:r>
        <w:rPr>
          <w:rFonts w:ascii="Arial" w:cs="Arial" w:eastAsia="Arial" w:hAnsi="Arial"/>
          <w:sz w:val="24"/>
          <w:szCs w:val="24"/>
        </w:rPr>
        <w:t xml:space="preserve">- в ячейках с 500 по 511 заполняется сумма сбора за удержание лицензии при разработке (на стадии проведения работ) равными долями в течение текущего платежного периода.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Расчет</w:t>
      </w:r>
    </w:p>
    <w:p>
      <w:pPr>
        <w:spacing w:after="240" w:before="200"/>
        <w:jc w:val="center"/>
      </w:pPr>
      <w:r>
        <w:rPr>
          <w:rFonts w:ascii="Arial" w:cs="Arial" w:eastAsia="Arial" w:hAnsi="Arial"/>
          <w:b/>
          <w:bCs/>
          <w:sz w:val="32"/>
          <w:szCs w:val="32"/>
        </w:rPr>
        <w:t xml:space="preserve">(перерасчет/корректировочный) сбора за удержание</w:t>
      </w:r>
    </w:p>
    <w:p>
      <w:pPr>
        <w:spacing w:after="240" w:before="200"/>
        <w:jc w:val="center"/>
      </w:pPr>
      <w:r>
        <w:rPr>
          <w:rFonts w:ascii="Arial" w:cs="Arial" w:eastAsia="Arial" w:hAnsi="Arial"/>
          <w:b/>
          <w:bCs/>
          <w:sz w:val="32"/>
          <w:szCs w:val="32"/>
        </w:rPr>
        <w:t xml:space="preserve">лицензии при поиске, разведке и разработке (на стадии</w:t>
      </w:r>
    </w:p>
    <w:p>
      <w:pPr>
        <w:spacing w:after="240" w:before="200"/>
        <w:jc w:val="center"/>
      </w:pPr>
      <w:r>
        <w:rPr>
          <w:rFonts w:ascii="Arial" w:cs="Arial" w:eastAsia="Arial" w:hAnsi="Arial"/>
          <w:b/>
          <w:bCs/>
          <w:sz w:val="32"/>
          <w:szCs w:val="32"/>
        </w:rPr>
        <w:t xml:space="preserve">проектирования) месторождений полезных</w:t>
      </w:r>
    </w:p>
    <w:p>
      <w:pPr>
        <w:spacing w:after="240" w:before="200"/>
        <w:jc w:val="center"/>
      </w:pPr>
      <w:r>
        <w:rPr>
          <w:rFonts w:ascii="Arial" w:cs="Arial" w:eastAsia="Arial" w:hAnsi="Arial"/>
          <w:b/>
          <w:bCs/>
          <w:sz w:val="32"/>
          <w:szCs w:val="32"/>
        </w:rPr>
        <w:t xml:space="preserve">ископаемых за 20__ год</w:t>
      </w:r>
    </w:p>
    <w:p>
      <w:pPr>
        <w:spacing w:after="120"/>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Дата составления расчета сбора «___» ___________________ 20__ года</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56"/>
        <w:gridCol w:w="556"/>
        <w:gridCol w:w="556"/>
        <w:gridCol w:w="556"/>
        <w:gridCol w:w="556"/>
        <w:gridCol w:w="556"/>
        <w:gridCol w:w="556"/>
        <w:gridCol w:w="571"/>
        <w:gridCol w:w="571"/>
        <w:gridCol w:w="571"/>
        <w:gridCol w:w="571"/>
        <w:gridCol w:w="571"/>
        <w:gridCol w:w="571"/>
        <w:gridCol w:w="571"/>
        <w:gridCol w:w="571"/>
        <w:gridCol w:w="571"/>
        <w:gridCol w:w="571"/>
        <w:gridCol w:w="571"/>
      </w:tblGrid>
      <w:tr>
        <w:tc>
          <w:tcPr>
            <w:tcW w:type="dxa" w:w="3892"/>
            <w:gridSpan w:val="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Номер лицензии</w:t>
            </w:r>
          </w:p>
        </w:tc>
        <w:tc>
          <w:tcPr>
            <w:tcW w:type="dxa" w:w="6281"/>
            <w:gridSpan w:val="1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92"/>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Дата выдачи лицензии</w:t>
            </w:r>
          </w:p>
        </w:tc>
        <w:tc>
          <w:tcPr>
            <w:tcW w:type="dxa" w:w="6281"/>
            <w:gridSpan w:val="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92"/>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плательщика </w:t>
            </w:r>
          </w:p>
          <w:p>
            <w:pPr>
              <w:jc w:val="left"/>
            </w:pPr>
            <w:r>
              <w:rPr>
                <w:rFonts w:ascii="Arial" w:cs="Arial" w:eastAsia="Arial" w:hAnsi="Arial"/>
                <w:sz w:val="24"/>
                <w:szCs w:val="24"/>
              </w:rPr>
              <w:t xml:space="preserve">(недропользователя)</w:t>
            </w:r>
          </w:p>
        </w:tc>
        <w:tc>
          <w:tcPr>
            <w:tcW w:type="dxa" w:w="6281"/>
            <w:gridSpan w:val="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92"/>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Идентификационный налоговый </w:t>
            </w:r>
          </w:p>
          <w:p>
            <w:pPr>
              <w:jc w:val="left"/>
            </w:pPr>
            <w:r>
              <w:rPr>
                <w:rFonts w:ascii="Arial" w:cs="Arial" w:eastAsia="Arial" w:hAnsi="Arial"/>
                <w:sz w:val="24"/>
                <w:szCs w:val="24"/>
              </w:rPr>
              <w:t xml:space="preserve">номер</w:t>
            </w:r>
          </w:p>
        </w:tc>
        <w:tc>
          <w:tcPr>
            <w:tcW w:type="dxa" w:w="6281"/>
            <w:gridSpan w:val="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92"/>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Код территориального налогового </w:t>
            </w:r>
          </w:p>
          <w:p>
            <w:pPr>
              <w:jc w:val="left"/>
            </w:pPr>
            <w:r>
              <w:rPr>
                <w:rFonts w:ascii="Arial" w:cs="Arial" w:eastAsia="Arial" w:hAnsi="Arial"/>
                <w:sz w:val="24"/>
                <w:szCs w:val="24"/>
              </w:rPr>
              <w:t xml:space="preserve">органа по учетной регистрации</w:t>
            </w:r>
          </w:p>
        </w:tc>
        <w:tc>
          <w:tcPr>
            <w:tcW w:type="dxa" w:w="6281"/>
            <w:gridSpan w:val="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92"/>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объекта </w:t>
            </w:r>
          </w:p>
          <w:p>
            <w:pPr>
              <w:jc w:val="left"/>
            </w:pPr>
            <w:r>
              <w:rPr>
                <w:rFonts w:ascii="Arial" w:cs="Arial" w:eastAsia="Arial" w:hAnsi="Arial"/>
                <w:sz w:val="24"/>
                <w:szCs w:val="24"/>
              </w:rPr>
              <w:t xml:space="preserve">недропользования</w:t>
            </w:r>
          </w:p>
        </w:tc>
        <w:tc>
          <w:tcPr>
            <w:tcW w:type="dxa" w:w="6281"/>
            <w:gridSpan w:val="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92"/>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Вид полезного ископаемого</w:t>
            </w:r>
          </w:p>
        </w:tc>
        <w:tc>
          <w:tcPr>
            <w:tcW w:type="dxa" w:w="6281"/>
            <w:gridSpan w:val="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92"/>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Вид недропользования (поиск, </w:t>
            </w:r>
          </w:p>
          <w:p>
            <w:pPr>
              <w:jc w:val="left"/>
            </w:pPr>
            <w:r>
              <w:rPr>
                <w:rFonts w:ascii="Arial" w:cs="Arial" w:eastAsia="Arial" w:hAnsi="Arial"/>
                <w:sz w:val="24"/>
                <w:szCs w:val="24"/>
              </w:rPr>
              <w:t xml:space="preserve">разведка)</w:t>
            </w:r>
          </w:p>
        </w:tc>
        <w:tc>
          <w:tcPr>
            <w:tcW w:type="dxa" w:w="6281"/>
            <w:gridSpan w:val="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92"/>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Размер площади (га, км</w:t>
            </w:r>
            <w:r>
              <w:rPr>
                <w:rFonts w:ascii="Arial" w:cs="Arial" w:eastAsia="Arial" w:hAnsi="Arial"/>
                <w:sz w:val="24"/>
                <w:szCs w:val="24"/>
              </w:rPr>
              <w:t xml:space="preserve">2</w:t>
            </w:r>
            <w:r>
              <w:rPr>
                <w:rFonts w:ascii="Arial" w:cs="Arial" w:eastAsia="Arial" w:hAnsi="Arial"/>
                <w:sz w:val="24"/>
                <w:szCs w:val="24"/>
              </w:rPr>
              <w:t xml:space="preserve">)</w:t>
            </w:r>
          </w:p>
        </w:tc>
        <w:tc>
          <w:tcPr>
            <w:tcW w:type="dxa" w:w="6281"/>
            <w:gridSpan w:val="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92"/>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Статус лицензии (возобновление, </w:t>
            </w:r>
          </w:p>
          <w:p>
            <w:pPr>
              <w:jc w:val="left"/>
            </w:pPr>
            <w:r>
              <w:rPr>
                <w:rFonts w:ascii="Arial" w:cs="Arial" w:eastAsia="Arial" w:hAnsi="Arial"/>
                <w:sz w:val="24"/>
                <w:szCs w:val="24"/>
              </w:rPr>
              <w:t xml:space="preserve">восстановление, прекращение </w:t>
            </w:r>
          </w:p>
          <w:p>
            <w:pPr>
              <w:jc w:val="left"/>
            </w:pPr>
            <w:r>
              <w:rPr>
                <w:rFonts w:ascii="Arial" w:cs="Arial" w:eastAsia="Arial" w:hAnsi="Arial"/>
                <w:sz w:val="24"/>
                <w:szCs w:val="24"/>
              </w:rPr>
              <w:t xml:space="preserve">(аннулирование), трансформация, </w:t>
            </w:r>
          </w:p>
          <w:p>
            <w:pPr>
              <w:jc w:val="left"/>
            </w:pPr>
            <w:r>
              <w:rPr>
                <w:rFonts w:ascii="Arial" w:cs="Arial" w:eastAsia="Arial" w:hAnsi="Arial"/>
                <w:sz w:val="24"/>
                <w:szCs w:val="24"/>
              </w:rPr>
              <w:t xml:space="preserve">передача лицензии)</w:t>
            </w:r>
          </w:p>
        </w:tc>
        <w:tc>
          <w:tcPr>
            <w:tcW w:type="dxa" w:w="6281"/>
            <w:gridSpan w:val="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92"/>
            <w:gridSpan w:val="7"/>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Административное место </w:t>
            </w:r>
          </w:p>
          <w:p>
            <w:pPr>
              <w:jc w:val="left"/>
            </w:pPr>
            <w:r>
              <w:rPr>
                <w:rFonts w:ascii="Arial" w:cs="Arial" w:eastAsia="Arial" w:hAnsi="Arial"/>
                <w:sz w:val="24"/>
                <w:szCs w:val="24"/>
              </w:rPr>
              <w:t xml:space="preserve">расположения объекта </w:t>
            </w:r>
          </w:p>
          <w:p>
            <w:pPr>
              <w:jc w:val="left"/>
            </w:pPr>
            <w:r>
              <w:rPr>
                <w:rFonts w:ascii="Arial" w:cs="Arial" w:eastAsia="Arial" w:hAnsi="Arial"/>
                <w:sz w:val="24"/>
                <w:szCs w:val="24"/>
              </w:rPr>
              <w:t xml:space="preserve">недропользования (согласно </w:t>
            </w:r>
          </w:p>
          <w:p>
            <w:pPr>
              <w:jc w:val="left"/>
            </w:pPr>
            <w:r>
              <w:rPr>
                <w:rFonts w:ascii="Arial" w:cs="Arial" w:eastAsia="Arial" w:hAnsi="Arial"/>
                <w:sz w:val="24"/>
                <w:szCs w:val="24"/>
              </w:rPr>
              <w:t xml:space="preserve">данным государственного </w:t>
            </w:r>
          </w:p>
          <w:p>
            <w:pPr>
              <w:jc w:val="left"/>
            </w:pPr>
            <w:r>
              <w:rPr>
                <w:rFonts w:ascii="Arial" w:cs="Arial" w:eastAsia="Arial" w:hAnsi="Arial"/>
                <w:sz w:val="24"/>
                <w:szCs w:val="24"/>
              </w:rPr>
              <w:t xml:space="preserve">предприятия по землеустройству </w:t>
            </w:r>
          </w:p>
          <w:p>
            <w:pPr>
              <w:jc w:val="left"/>
            </w:pPr>
            <w:r>
              <w:rPr>
                <w:rFonts w:ascii="Arial" w:cs="Arial" w:eastAsia="Arial" w:hAnsi="Arial"/>
                <w:sz w:val="24"/>
                <w:szCs w:val="24"/>
              </w:rPr>
              <w:t xml:space="preserve">«Кыргызгипрозем»)</w:t>
            </w:r>
          </w:p>
        </w:tc>
        <w:tc>
          <w:tcPr>
            <w:tcW w:type="dxa" w:w="3426"/>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Область</w:t>
            </w:r>
          </w:p>
        </w:tc>
        <w:tc>
          <w:tcPr>
            <w:tcW w:type="dxa" w:w="285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gridSpan w:val="7"/>
            <w:vMerge w:val="continue"/>
            <w:tcBorders>
              <w:top w:val="none" w:color="auto" w:sz="0"/>
              <w:left w:val="single" w:color="CBBF9E" w:sz="4"/>
              <w:bottom w:val="single" w:color="CBBF9E" w:sz="4"/>
              <w:right w:val="single" w:color="CBBF9E" w:sz="4"/>
            </w:tcBorders>
          </w:tcPr>
          <w:p/>
        </w:tc>
        <w:tc>
          <w:tcPr>
            <w:tcW w:type="dxa" w:w="3426"/>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Район</w:t>
            </w:r>
          </w:p>
        </w:tc>
        <w:tc>
          <w:tcPr>
            <w:tcW w:type="dxa" w:w="285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gridSpan w:val="7"/>
            <w:vMerge w:val="continue"/>
            <w:tcBorders>
              <w:top w:val="none" w:color="auto" w:sz="0"/>
              <w:left w:val="single" w:color="CBBF9E" w:sz="4"/>
              <w:bottom w:val="single" w:color="CBBF9E" w:sz="4"/>
              <w:right w:val="single" w:color="CBBF9E" w:sz="4"/>
            </w:tcBorders>
          </w:tcPr>
          <w:p/>
        </w:tc>
        <w:tc>
          <w:tcPr>
            <w:tcW w:type="dxa" w:w="3426"/>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Айыльный аймак</w:t>
            </w:r>
          </w:p>
        </w:tc>
        <w:tc>
          <w:tcPr>
            <w:tcW w:type="dxa" w:w="285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92"/>
            <w:gridSpan w:val="7"/>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Вид бюджета</w:t>
            </w:r>
          </w:p>
        </w:tc>
        <w:tc>
          <w:tcPr>
            <w:tcW w:type="dxa" w:w="3426"/>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w:t>
            </w:r>
          </w:p>
        </w:tc>
        <w:tc>
          <w:tcPr>
            <w:tcW w:type="dxa" w:w="285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gridSpan w:val="7"/>
            <w:vMerge w:val="continue"/>
            <w:tcBorders>
              <w:top w:val="none" w:color="auto" w:sz="0"/>
              <w:left w:val="single" w:color="CBBF9E" w:sz="4"/>
              <w:bottom w:val="single" w:color="CBBF9E" w:sz="4"/>
              <w:right w:val="single" w:color="CBBF9E" w:sz="4"/>
            </w:tcBorders>
          </w:tcPr>
          <w:p/>
        </w:tc>
        <w:tc>
          <w:tcPr>
            <w:tcW w:type="dxa" w:w="3426"/>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Местный</w:t>
            </w:r>
          </w:p>
        </w:tc>
        <w:tc>
          <w:tcPr>
            <w:tcW w:type="dxa" w:w="285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92"/>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Срок удержания лицензии</w:t>
            </w:r>
          </w:p>
        </w:tc>
        <w:tc>
          <w:tcPr>
            <w:tcW w:type="dxa" w:w="3426"/>
            <w:gridSpan w:val="6"/>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285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w:t>
            </w:r>
          </w:p>
        </w:tc>
      </w:tr>
      <w:tr>
        <w:tc>
          <w:tcPr>
            <w:tcW w:type="dxa" w:w="3892"/>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Ставка удержания за 1 (га, км</w:t>
            </w:r>
            <w:r>
              <w:rPr>
                <w:rFonts w:ascii="Arial" w:cs="Arial" w:eastAsia="Arial" w:hAnsi="Arial"/>
                <w:sz w:val="24"/>
                <w:szCs w:val="24"/>
              </w:rPr>
              <w:t xml:space="preserve">2</w:t>
            </w:r>
            <w:r>
              <w:rPr>
                <w:rFonts w:ascii="Arial" w:cs="Arial" w:eastAsia="Arial" w:hAnsi="Arial"/>
                <w:sz w:val="24"/>
                <w:szCs w:val="24"/>
              </w:rPr>
              <w:t xml:space="preserve">)</w:t>
            </w:r>
          </w:p>
        </w:tc>
        <w:tc>
          <w:tcPr>
            <w:tcW w:type="dxa" w:w="6281"/>
            <w:gridSpan w:val="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92"/>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Сбор за удержание лицензии на </w:t>
            </w:r>
          </w:p>
          <w:p>
            <w:pPr>
              <w:jc w:val="left"/>
            </w:pPr>
            <w:r>
              <w:rPr>
                <w:rFonts w:ascii="Arial" w:cs="Arial" w:eastAsia="Arial" w:hAnsi="Arial"/>
                <w:sz w:val="24"/>
                <w:szCs w:val="24"/>
              </w:rPr>
              <w:t xml:space="preserve">______ год</w:t>
            </w:r>
          </w:p>
        </w:tc>
        <w:tc>
          <w:tcPr>
            <w:tcW w:type="dxa" w:w="3426"/>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5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лет</w:t>
            </w:r>
          </w:p>
        </w:tc>
      </w:tr>
      <w:tr>
        <w:tc>
          <w:tcPr>
            <w:tcW w:type="dxa" w:w="3892"/>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Исчисляется за период с _____ </w:t>
            </w:r>
          </w:p>
          <w:p>
            <w:pPr>
              <w:jc w:val="left"/>
            </w:pPr>
            <w:r>
              <w:rPr>
                <w:rFonts w:ascii="Arial" w:cs="Arial" w:eastAsia="Arial" w:hAnsi="Arial"/>
                <w:sz w:val="24"/>
                <w:szCs w:val="24"/>
              </w:rPr>
              <w:t xml:space="preserve">года по ____ год</w:t>
            </w:r>
          </w:p>
        </w:tc>
        <w:tc>
          <w:tcPr>
            <w:tcW w:type="dxa" w:w="3426"/>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5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РП(*)</w:t>
            </w:r>
          </w:p>
        </w:tc>
      </w:tr>
      <w:tr>
        <w:tc>
          <w:tcPr>
            <w:tcW w:type="dxa" w:w="3892"/>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Количество месяцев за весь срок </w:t>
            </w:r>
          </w:p>
          <w:p>
            <w:pPr>
              <w:jc w:val="left"/>
            </w:pPr>
            <w:r>
              <w:rPr>
                <w:rFonts w:ascii="Arial" w:cs="Arial" w:eastAsia="Arial" w:hAnsi="Arial"/>
                <w:sz w:val="24"/>
                <w:szCs w:val="24"/>
              </w:rPr>
              <w:t xml:space="preserve">удержания лицензии</w:t>
            </w:r>
          </w:p>
        </w:tc>
        <w:tc>
          <w:tcPr>
            <w:tcW w:type="dxa" w:w="3426"/>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5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месяц</w:t>
            </w:r>
          </w:p>
        </w:tc>
      </w:tr>
      <w:tr>
        <w:tc>
          <w:tcPr>
            <w:tcW w:type="dxa" w:w="3892"/>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Уплата за каждый месяц</w:t>
            </w:r>
          </w:p>
        </w:tc>
        <w:tc>
          <w:tcPr>
            <w:tcW w:type="dxa" w:w="3426"/>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5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сом</w:t>
            </w:r>
          </w:p>
        </w:tc>
      </w:tr>
      <w:tr>
        <w:tc>
          <w:tcPr>
            <w:tcW w:type="dxa" w:w="3892"/>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Сумма за удержание лицензии</w:t>
            </w:r>
          </w:p>
        </w:tc>
        <w:tc>
          <w:tcPr>
            <w:tcW w:type="dxa" w:w="3426"/>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5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w:t>
            </w:r>
          </w:p>
        </w:tc>
      </w:tr>
      <w:tr>
        <w:tc>
          <w:tcPr>
            <w:tcW w:type="dxa" w:w="3892"/>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Сумма удержания лицензии за </w:t>
            </w:r>
          </w:p>
          <w:p>
            <w:pPr>
              <w:jc w:val="left"/>
            </w:pPr>
            <w:r>
              <w:rPr>
                <w:rFonts w:ascii="Arial" w:cs="Arial" w:eastAsia="Arial" w:hAnsi="Arial"/>
                <w:sz w:val="24"/>
                <w:szCs w:val="24"/>
              </w:rPr>
              <w:t xml:space="preserve">весь срок удержания лицензией</w:t>
            </w:r>
          </w:p>
        </w:tc>
        <w:tc>
          <w:tcPr>
            <w:tcW w:type="dxa" w:w="3426"/>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5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сом</w:t>
            </w:r>
          </w:p>
        </w:tc>
      </w:tr>
      <w:tr>
        <w:tc>
          <w:tcPr>
            <w:tcW w:type="dxa" w:w="5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Сумма за </w:t>
            </w:r>
          </w:p>
          <w:p>
            <w:pPr>
              <w:jc w:val="left"/>
            </w:pPr>
            <w:r>
              <w:rPr>
                <w:rFonts w:ascii="Arial" w:cs="Arial" w:eastAsia="Arial" w:hAnsi="Arial"/>
                <w:sz w:val="24"/>
                <w:szCs w:val="24"/>
              </w:rPr>
              <w:t xml:space="preserve">удержание </w:t>
            </w:r>
          </w:p>
          <w:p>
            <w:pPr>
              <w:jc w:val="left"/>
            </w:pPr>
            <w:r>
              <w:rPr>
                <w:rFonts w:ascii="Arial" w:cs="Arial" w:eastAsia="Arial" w:hAnsi="Arial"/>
                <w:sz w:val="24"/>
                <w:szCs w:val="24"/>
              </w:rPr>
              <w:t xml:space="preserve">лицензии </w:t>
            </w:r>
          </w:p>
          <w:p>
            <w:pPr>
              <w:jc w:val="left"/>
            </w:pPr>
            <w:r>
              <w:rPr>
                <w:rFonts w:ascii="Arial" w:cs="Arial" w:eastAsia="Arial" w:hAnsi="Arial"/>
                <w:sz w:val="24"/>
                <w:szCs w:val="24"/>
              </w:rPr>
              <w:t xml:space="preserve">за 20__ г.</w:t>
            </w:r>
          </w:p>
        </w:tc>
        <w:tc>
          <w:tcPr>
            <w:tcW w:type="dxa" w:w="11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Месяцы</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Январь</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Февраль</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Март</w:t>
            </w:r>
          </w:p>
        </w:tc>
        <w:tc>
          <w:tcPr>
            <w:tcW w:type="dxa" w:w="112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Апрель</w:t>
            </w:r>
          </w:p>
        </w:tc>
        <w:tc>
          <w:tcPr>
            <w:tcW w:type="dxa" w:w="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Май</w:t>
            </w:r>
          </w:p>
        </w:tc>
        <w:tc>
          <w:tcPr>
            <w:tcW w:type="dxa" w:w="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Июнь</w:t>
            </w:r>
          </w:p>
        </w:tc>
        <w:tc>
          <w:tcPr>
            <w:tcW w:type="dxa" w:w="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Июль</w:t>
            </w:r>
          </w:p>
        </w:tc>
        <w:tc>
          <w:tcPr>
            <w:tcW w:type="dxa" w:w="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Август</w:t>
            </w:r>
          </w:p>
        </w:tc>
        <w:tc>
          <w:tcPr>
            <w:tcW w:type="dxa" w:w="11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Сентябрь</w:t>
            </w:r>
          </w:p>
        </w:tc>
        <w:tc>
          <w:tcPr>
            <w:tcW w:type="dxa" w:w="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Октябрь</w:t>
            </w:r>
          </w:p>
        </w:tc>
        <w:tc>
          <w:tcPr>
            <w:tcW w:type="dxa" w:w="11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Ноябрь</w:t>
            </w:r>
          </w:p>
        </w:tc>
        <w:tc>
          <w:tcPr>
            <w:tcW w:type="dxa" w:w="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Декабрь</w:t>
            </w:r>
          </w:p>
        </w:tc>
      </w:tr>
      <w:tr>
        <w:tc>
          <w:tcPr>
            <w:tcW w:type="dxa" w:w="5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w:t>
            </w:r>
          </w:p>
          <w:p>
            <w:pPr>
              <w:jc w:val="left"/>
            </w:pPr>
            <w:r>
              <w:rPr>
                <w:rFonts w:ascii="Arial" w:cs="Arial" w:eastAsia="Arial" w:hAnsi="Arial"/>
                <w:sz w:val="24"/>
                <w:szCs w:val="24"/>
              </w:rPr>
              <w:t xml:space="preserve">платежа </w:t>
            </w:r>
          </w:p>
          <w:p>
            <w:pPr>
              <w:jc w:val="left"/>
            </w:pPr>
            <w:r>
              <w:rPr>
                <w:rFonts w:ascii="Arial" w:cs="Arial" w:eastAsia="Arial" w:hAnsi="Arial"/>
                <w:sz w:val="24"/>
                <w:szCs w:val="24"/>
              </w:rPr>
              <w:t xml:space="preserve">(сом)</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3"/>
            <w:gridSpan w:val="1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Составлено:</w:t>
            </w:r>
          </w:p>
        </w:tc>
      </w:tr>
      <w:tr>
        <w:tc>
          <w:tcPr>
            <w:tcW w:type="dxa" w:w="5034"/>
            <w:gridSpan w:val="9"/>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Занимаемая должность</w:t>
            </w:r>
          </w:p>
        </w:tc>
        <w:tc>
          <w:tcPr>
            <w:tcW w:type="dxa" w:w="3997"/>
            <w:gridSpan w:val="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подпись</w:t>
            </w:r>
          </w:p>
        </w:tc>
        <w:tc>
          <w:tcPr>
            <w:tcW w:type="dxa" w:w="1142"/>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фио</w:t>
            </w:r>
          </w:p>
        </w:tc>
      </w:tr>
      <w:tr>
        <w:tc>
          <w:tcPr>
            <w:tcW w:type="dxa" w:w="5034"/>
            <w:gridSpan w:val="9"/>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
            </w:r>
          </w:p>
        </w:tc>
        <w:tc>
          <w:tcPr>
            <w:tcW w:type="dxa" w:w="3997"/>
            <w:gridSpan w:val="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42"/>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1112"/>
            <w:gridSpan w:val="2"/>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
            </w:r>
          </w:p>
        </w:tc>
        <w:tc>
          <w:tcPr>
            <w:tcW w:type="dxa" w:w="9061"/>
            <w:gridSpan w:val="1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М.П.</w:t>
            </w:r>
          </w:p>
        </w:tc>
      </w:tr>
      <w:tr>
        <w:tc>
          <w:tcPr>
            <w:tcW w:type="dxa" w:w="1112"/>
            <w:gridSpan w:val="2"/>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
            </w:r>
          </w:p>
        </w:tc>
        <w:tc>
          <w:tcPr>
            <w:tcW w:type="dxa" w:w="9061"/>
            <w:gridSpan w:val="1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1112"/>
            <w:gridSpan w:val="2"/>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
            </w:r>
          </w:p>
        </w:tc>
        <w:tc>
          <w:tcPr>
            <w:tcW w:type="dxa" w:w="9061"/>
            <w:gridSpan w:val="1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Контактный телефон</w:t>
            </w:r>
          </w:p>
        </w:tc>
      </w:tr>
      <w:tr>
        <w:tc>
          <w:tcPr>
            <w:tcW w:type="dxa" w:w="10173"/>
            <w:gridSpan w:val="1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10173"/>
            <w:gridSpan w:val="1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Согласовано:</w:t>
            </w:r>
          </w:p>
        </w:tc>
      </w:tr>
      <w:tr>
        <w:tc>
          <w:tcPr>
            <w:tcW w:type="dxa" w:w="5034"/>
            <w:gridSpan w:val="9"/>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Занимаемая должность</w:t>
            </w:r>
          </w:p>
        </w:tc>
        <w:tc>
          <w:tcPr>
            <w:tcW w:type="dxa" w:w="3997"/>
            <w:gridSpan w:val="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подпись</w:t>
            </w:r>
          </w:p>
        </w:tc>
        <w:tc>
          <w:tcPr>
            <w:tcW w:type="dxa" w:w="1142"/>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фио</w:t>
            </w:r>
          </w:p>
        </w:tc>
      </w:tr>
      <w:tr>
        <w:tc>
          <w:tcPr>
            <w:tcW w:type="dxa" w:w="10173"/>
            <w:gridSpan w:val="1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УГО по недропользованию</w:t>
            </w:r>
          </w:p>
        </w:tc>
      </w:tr>
      <w:tr>
        <w:tc>
          <w:tcPr>
            <w:tcW w:type="dxa" w:w="10173"/>
            <w:gridSpan w:val="1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10173"/>
            <w:gridSpan w:val="1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 Расчет сбора за удержание лицензии при поиске, разведке и разработке (на стадии проектирования) месторождений полезных ископаемых представляется через кабинет налогоплательщика до 1 апреля текущего года.</w:t>
            </w:r>
          </w:p>
          <w:p>
            <w:pPr>
              <w:jc w:val="both"/>
            </w:pPr>
            <w:r>
              <w:rPr>
                <w:rFonts w:ascii="Arial" w:cs="Arial" w:eastAsia="Arial" w:hAnsi="Arial"/>
                <w:sz w:val="24"/>
                <w:szCs w:val="24"/>
              </w:rPr>
              <w:t xml:space="preserve">В случаях принятия решения УГО по недропользованию, приводящего к изменению суммы обязательства, предоставляется уточненный расчет через кабинет налогоплательщика.</w:t>
            </w:r>
          </w:p>
          <w:p>
            <w:pPr>
              <w:jc w:val="both"/>
            </w:pPr>
            <w:r>
              <w:rPr>
                <w:rFonts w:ascii="Arial" w:cs="Arial" w:eastAsia="Arial" w:hAnsi="Arial"/>
                <w:sz w:val="24"/>
                <w:szCs w:val="24"/>
              </w:rPr>
              <w:t xml:space="preserve">(*) РП - расчетный показатель согласно </w:t>
            </w:r>
            <w:hyperlink w:history="1" r:id="rIdfps4pxj0fzsbvebjxfyrt">
              <w:r>
                <w:rPr>
                  <w:rFonts w:ascii="Arial" w:cs="Arial" w:eastAsia="Arial" w:hAnsi="Arial"/>
                  <w:color w:val="1D4ED8"/>
                  <w:sz w:val="24"/>
                  <w:szCs w:val="24"/>
                  <w:u w:val="single"/>
                </w:rPr>
                <w:t xml:space="preserve">Закону</w:t>
              </w:r>
            </w:hyperlink>
            <w:r>
              <w:rPr>
                <w:rFonts w:ascii="Arial" w:cs="Arial" w:eastAsia="Arial" w:hAnsi="Arial"/>
                <w:sz w:val="24"/>
                <w:szCs w:val="24"/>
              </w:rPr>
              <w:t xml:space="preserve"> Кыргызской Республики «О расчетном показателе».</w:t>
            </w:r>
          </w:p>
          <w:p>
            <w:pPr>
              <w:jc w:val="both"/>
            </w:pPr>
            <w:r>
              <w:rPr>
                <w:rFonts w:ascii="Arial" w:cs="Arial" w:eastAsia="Arial" w:hAnsi="Arial"/>
                <w:sz w:val="24"/>
                <w:szCs w:val="24"/>
              </w:rPr>
              <w:t xml:space="preserve">Уплата сбора производится напрямую в бюджеты органов местного самоуправления. При этом:</w:t>
            </w:r>
          </w:p>
          <w:p>
            <w:pPr>
              <w:jc w:val="both"/>
            </w:pPr>
            <w:r>
              <w:rPr>
                <w:rFonts w:ascii="Arial" w:cs="Arial" w:eastAsia="Arial" w:hAnsi="Arial"/>
                <w:sz w:val="24"/>
                <w:szCs w:val="24"/>
              </w:rPr>
              <w:t xml:space="preserve">1) если лицензионная площадь находится на территории нескольких административно-территориальных единиц, уплата сбора производится на счет каждого органа местного самоуправления пропорционально площади, которая находится на территории той или иной административно-территориальной единицы;</w:t>
            </w:r>
          </w:p>
          <w:p>
            <w:pPr>
              <w:jc w:val="both"/>
            </w:pPr>
            <w:r>
              <w:rPr>
                <w:rFonts w:ascii="Arial" w:cs="Arial" w:eastAsia="Arial" w:hAnsi="Arial"/>
                <w:sz w:val="24"/>
                <w:szCs w:val="24"/>
              </w:rPr>
              <w:t xml:space="preserve">2) если лицензионная площадь или ее часть не входит в границы айылного аймака, города, то сборы по такой лицензионной площади направляются в республиканский бюджет.</w:t>
            </w:r>
          </w:p>
        </w:tc>
      </w:tr>
      <w:tr>
        <w:tc>
          <w:tcPr>
            <w:tcW w:type="dxa" w:w="55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Отчет</w:t>
      </w:r>
    </w:p>
    <w:p>
      <w:pPr>
        <w:spacing w:after="240" w:before="200"/>
        <w:jc w:val="center"/>
      </w:pPr>
      <w:r>
        <w:rPr>
          <w:rFonts w:ascii="Arial" w:cs="Arial" w:eastAsia="Arial" w:hAnsi="Arial"/>
          <w:b/>
          <w:bCs/>
          <w:sz w:val="32"/>
          <w:szCs w:val="32"/>
        </w:rPr>
        <w:t xml:space="preserve">(корректировка) сбора за удержание лицензии при</w:t>
      </w:r>
    </w:p>
    <w:p>
      <w:pPr>
        <w:spacing w:after="240" w:before="200"/>
        <w:jc w:val="center"/>
      </w:pPr>
      <w:r>
        <w:rPr>
          <w:rFonts w:ascii="Arial" w:cs="Arial" w:eastAsia="Arial" w:hAnsi="Arial"/>
          <w:b/>
          <w:bCs/>
          <w:sz w:val="32"/>
          <w:szCs w:val="32"/>
        </w:rPr>
        <w:t xml:space="preserve">разработке (на стадии проведения работ)</w:t>
      </w:r>
    </w:p>
    <w:p>
      <w:pPr>
        <w:spacing w:after="240" w:before="200"/>
        <w:jc w:val="center"/>
      </w:pPr>
      <w:r>
        <w:rPr>
          <w:rFonts w:ascii="Arial" w:cs="Arial" w:eastAsia="Arial" w:hAnsi="Arial"/>
          <w:b/>
          <w:bCs/>
          <w:sz w:val="32"/>
          <w:szCs w:val="32"/>
        </w:rPr>
        <w:t xml:space="preserve">месторождений полезных ископаемых за отчетный</w:t>
      </w:r>
    </w:p>
    <w:p>
      <w:pPr>
        <w:spacing w:after="240" w:before="200"/>
        <w:jc w:val="center"/>
      </w:pPr>
      <w:r>
        <w:rPr>
          <w:rFonts w:ascii="Arial" w:cs="Arial" w:eastAsia="Arial" w:hAnsi="Arial"/>
          <w:b/>
          <w:bCs/>
          <w:sz w:val="32"/>
          <w:szCs w:val="32"/>
        </w:rPr>
        <w:t xml:space="preserve">20__год</w:t>
      </w:r>
    </w:p>
    <w:p>
      <w:pPr>
        <w:spacing w:after="120"/>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Дата составление отчета сбора «___» __________________ 20__ года</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57"/>
        <w:gridCol w:w="557"/>
        <w:gridCol w:w="557"/>
        <w:gridCol w:w="557"/>
        <w:gridCol w:w="557"/>
        <w:gridCol w:w="557"/>
        <w:gridCol w:w="557"/>
        <w:gridCol w:w="523"/>
        <w:gridCol w:w="523"/>
        <w:gridCol w:w="523"/>
        <w:gridCol w:w="523"/>
        <w:gridCol w:w="523"/>
        <w:gridCol w:w="523"/>
        <w:gridCol w:w="523"/>
        <w:gridCol w:w="523"/>
        <w:gridCol w:w="523"/>
        <w:gridCol w:w="523"/>
        <w:gridCol w:w="523"/>
        <w:gridCol w:w="523"/>
      </w:tblGrid>
      <w:tr>
        <w:tc>
          <w:tcPr>
            <w:tcW w:type="dxa" w:w="3899"/>
            <w:gridSpan w:val="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Номер лицензии</w:t>
            </w:r>
          </w:p>
        </w:tc>
        <w:tc>
          <w:tcPr>
            <w:tcW w:type="dxa" w:w="6276"/>
            <w:gridSpan w:val="1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99"/>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Дата выдачи лицензии</w:t>
            </w:r>
          </w:p>
        </w:tc>
        <w:tc>
          <w:tcPr>
            <w:tcW w:type="dxa" w:w="6276"/>
            <w:gridSpan w:val="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99"/>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плательщика </w:t>
            </w:r>
          </w:p>
          <w:p>
            <w:pPr>
              <w:jc w:val="left"/>
            </w:pPr>
            <w:r>
              <w:rPr>
                <w:rFonts w:ascii="Arial" w:cs="Arial" w:eastAsia="Arial" w:hAnsi="Arial"/>
                <w:sz w:val="24"/>
                <w:szCs w:val="24"/>
              </w:rPr>
              <w:t xml:space="preserve">(недропользователя)</w:t>
            </w:r>
          </w:p>
        </w:tc>
        <w:tc>
          <w:tcPr>
            <w:tcW w:type="dxa" w:w="6276"/>
            <w:gridSpan w:val="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99"/>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Идентификационный </w:t>
            </w:r>
          </w:p>
          <w:p>
            <w:pPr>
              <w:jc w:val="left"/>
            </w:pPr>
            <w:r>
              <w:rPr>
                <w:rFonts w:ascii="Arial" w:cs="Arial" w:eastAsia="Arial" w:hAnsi="Arial"/>
                <w:sz w:val="24"/>
                <w:szCs w:val="24"/>
              </w:rPr>
              <w:t xml:space="preserve">налоговый номер</w:t>
            </w:r>
          </w:p>
        </w:tc>
        <w:tc>
          <w:tcPr>
            <w:tcW w:type="dxa" w:w="6276"/>
            <w:gridSpan w:val="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99"/>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Код территориального </w:t>
            </w:r>
          </w:p>
          <w:p>
            <w:pPr>
              <w:jc w:val="left"/>
            </w:pPr>
            <w:r>
              <w:rPr>
                <w:rFonts w:ascii="Arial" w:cs="Arial" w:eastAsia="Arial" w:hAnsi="Arial"/>
                <w:sz w:val="24"/>
                <w:szCs w:val="24"/>
              </w:rPr>
              <w:t xml:space="preserve">налогового органа по учетной </w:t>
            </w:r>
          </w:p>
          <w:p>
            <w:pPr>
              <w:jc w:val="left"/>
            </w:pPr>
            <w:r>
              <w:rPr>
                <w:rFonts w:ascii="Arial" w:cs="Arial" w:eastAsia="Arial" w:hAnsi="Arial"/>
                <w:sz w:val="24"/>
                <w:szCs w:val="24"/>
              </w:rPr>
              <w:t xml:space="preserve">регистрации</w:t>
            </w:r>
          </w:p>
        </w:tc>
        <w:tc>
          <w:tcPr>
            <w:tcW w:type="dxa" w:w="6276"/>
            <w:gridSpan w:val="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99"/>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объекта</w:t>
            </w:r>
          </w:p>
          <w:p>
            <w:pPr>
              <w:jc w:val="left"/>
            </w:pPr>
            <w:r>
              <w:rPr>
                <w:rFonts w:ascii="Arial" w:cs="Arial" w:eastAsia="Arial" w:hAnsi="Arial"/>
                <w:sz w:val="24"/>
                <w:szCs w:val="24"/>
              </w:rPr>
              <w:t xml:space="preserve"/>
            </w:r>
          </w:p>
        </w:tc>
        <w:tc>
          <w:tcPr>
            <w:tcW w:type="dxa" w:w="6276"/>
            <w:gridSpan w:val="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99"/>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Вид недропользования</w:t>
            </w:r>
          </w:p>
        </w:tc>
        <w:tc>
          <w:tcPr>
            <w:tcW w:type="dxa" w:w="6276"/>
            <w:gridSpan w:val="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w:t>
            </w:r>
          </w:p>
        </w:tc>
      </w:tr>
      <w:tr>
        <w:tc>
          <w:tcPr>
            <w:tcW w:type="dxa" w:w="3899"/>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Размер площади (га, км</w:t>
            </w:r>
            <w:r>
              <w:rPr>
                <w:rFonts w:ascii="Arial" w:cs="Arial" w:eastAsia="Arial" w:hAnsi="Arial"/>
                <w:sz w:val="24"/>
                <w:szCs w:val="24"/>
              </w:rPr>
              <w:t xml:space="preserve">2</w:t>
            </w:r>
            <w:r>
              <w:rPr>
                <w:rFonts w:ascii="Arial" w:cs="Arial" w:eastAsia="Arial" w:hAnsi="Arial"/>
                <w:sz w:val="24"/>
                <w:szCs w:val="24"/>
              </w:rPr>
              <w:t xml:space="preserve">)</w:t>
            </w:r>
          </w:p>
        </w:tc>
        <w:tc>
          <w:tcPr>
            <w:tcW w:type="dxa" w:w="6276"/>
            <w:gridSpan w:val="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99"/>
            <w:gridSpan w:val="7"/>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Административное место </w:t>
            </w:r>
          </w:p>
          <w:p>
            <w:pPr>
              <w:jc w:val="left"/>
            </w:pPr>
            <w:r>
              <w:rPr>
                <w:rFonts w:ascii="Arial" w:cs="Arial" w:eastAsia="Arial" w:hAnsi="Arial"/>
                <w:sz w:val="24"/>
                <w:szCs w:val="24"/>
              </w:rPr>
              <w:t xml:space="preserve">расположения объекта </w:t>
            </w:r>
          </w:p>
          <w:p>
            <w:pPr>
              <w:jc w:val="left"/>
            </w:pPr>
            <w:r>
              <w:rPr>
                <w:rFonts w:ascii="Arial" w:cs="Arial" w:eastAsia="Arial" w:hAnsi="Arial"/>
                <w:sz w:val="24"/>
                <w:szCs w:val="24"/>
              </w:rPr>
              <w:t xml:space="preserve">недропользования (согласно </w:t>
            </w:r>
          </w:p>
          <w:p>
            <w:pPr>
              <w:jc w:val="left"/>
            </w:pPr>
            <w:r>
              <w:rPr>
                <w:rFonts w:ascii="Arial" w:cs="Arial" w:eastAsia="Arial" w:hAnsi="Arial"/>
                <w:sz w:val="24"/>
                <w:szCs w:val="24"/>
              </w:rPr>
              <w:t xml:space="preserve">данным государственного </w:t>
            </w:r>
          </w:p>
          <w:p>
            <w:pPr>
              <w:jc w:val="left"/>
            </w:pPr>
            <w:r>
              <w:rPr>
                <w:rFonts w:ascii="Arial" w:cs="Arial" w:eastAsia="Arial" w:hAnsi="Arial"/>
                <w:sz w:val="24"/>
                <w:szCs w:val="24"/>
              </w:rPr>
              <w:t xml:space="preserve">предприятия по </w:t>
            </w:r>
          </w:p>
          <w:p>
            <w:pPr>
              <w:jc w:val="left"/>
            </w:pPr>
            <w:r>
              <w:rPr>
                <w:rFonts w:ascii="Arial" w:cs="Arial" w:eastAsia="Arial" w:hAnsi="Arial"/>
                <w:sz w:val="24"/>
                <w:szCs w:val="24"/>
              </w:rPr>
              <w:t xml:space="preserve">землеустройству </w:t>
            </w:r>
          </w:p>
          <w:p>
            <w:pPr>
              <w:jc w:val="left"/>
            </w:pPr>
            <w:r>
              <w:rPr>
                <w:rFonts w:ascii="Arial" w:cs="Arial" w:eastAsia="Arial" w:hAnsi="Arial"/>
                <w:sz w:val="24"/>
                <w:szCs w:val="24"/>
              </w:rPr>
              <w:t xml:space="preserve">«Кыргызгипрозем»)</w:t>
            </w:r>
          </w:p>
        </w:tc>
        <w:tc>
          <w:tcPr>
            <w:tcW w:type="dxa" w:w="313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Область</w:t>
            </w:r>
          </w:p>
        </w:tc>
        <w:tc>
          <w:tcPr>
            <w:tcW w:type="dxa" w:w="313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gridSpan w:val="7"/>
            <w:vMerge w:val="continue"/>
            <w:tcBorders>
              <w:top w:val="none" w:color="auto" w:sz="0"/>
              <w:left w:val="single" w:color="CBBF9E" w:sz="4"/>
              <w:bottom w:val="single" w:color="CBBF9E" w:sz="4"/>
              <w:right w:val="single" w:color="CBBF9E" w:sz="4"/>
            </w:tcBorders>
          </w:tcPr>
          <w:p/>
        </w:tc>
        <w:tc>
          <w:tcPr>
            <w:tcW w:type="dxa" w:w="313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Район</w:t>
            </w:r>
          </w:p>
        </w:tc>
        <w:tc>
          <w:tcPr>
            <w:tcW w:type="dxa" w:w="313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gridSpan w:val="7"/>
            <w:vMerge w:val="continue"/>
            <w:tcBorders>
              <w:top w:val="none" w:color="auto" w:sz="0"/>
              <w:left w:val="single" w:color="CBBF9E" w:sz="4"/>
              <w:bottom w:val="single" w:color="CBBF9E" w:sz="4"/>
              <w:right w:val="single" w:color="CBBF9E" w:sz="4"/>
            </w:tcBorders>
          </w:tcPr>
          <w:p/>
        </w:tc>
        <w:tc>
          <w:tcPr>
            <w:tcW w:type="dxa" w:w="313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Айыльный </w:t>
            </w:r>
          </w:p>
          <w:p>
            <w:pPr>
              <w:jc w:val="left"/>
            </w:pPr>
            <w:r>
              <w:rPr>
                <w:rFonts w:ascii="Arial" w:cs="Arial" w:eastAsia="Arial" w:hAnsi="Arial"/>
                <w:sz w:val="24"/>
                <w:szCs w:val="24"/>
              </w:rPr>
              <w:t xml:space="preserve">аймак</w:t>
            </w:r>
          </w:p>
        </w:tc>
        <w:tc>
          <w:tcPr>
            <w:tcW w:type="dxa" w:w="313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99"/>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Срок удержания лицензии</w:t>
            </w:r>
          </w:p>
        </w:tc>
        <w:tc>
          <w:tcPr>
            <w:tcW w:type="dxa" w:w="313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3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 лет</w:t>
            </w:r>
          </w:p>
        </w:tc>
      </w:tr>
      <w:tr>
        <w:tc>
          <w:tcPr>
            <w:tcW w:type="dxa" w:w="3899"/>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Ставка удержания за 1 га</w:t>
            </w:r>
          </w:p>
        </w:tc>
        <w:tc>
          <w:tcPr>
            <w:tcW w:type="dxa" w:w="313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3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РП(*)</w:t>
            </w:r>
          </w:p>
        </w:tc>
      </w:tr>
      <w:tr>
        <w:tc>
          <w:tcPr>
            <w:tcW w:type="dxa" w:w="3899"/>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Сбор за удержание лицензии на </w:t>
            </w:r>
          </w:p>
          <w:p>
            <w:pPr>
              <w:jc w:val="left"/>
            </w:pPr>
            <w:r>
              <w:rPr>
                <w:rFonts w:ascii="Arial" w:cs="Arial" w:eastAsia="Arial" w:hAnsi="Arial"/>
                <w:sz w:val="24"/>
                <w:szCs w:val="24"/>
              </w:rPr>
              <w:t xml:space="preserve">20__ год составит:</w:t>
            </w:r>
          </w:p>
        </w:tc>
        <w:tc>
          <w:tcPr>
            <w:tcW w:type="dxa" w:w="313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3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сом</w:t>
            </w:r>
          </w:p>
        </w:tc>
      </w:tr>
      <w:tr>
        <w:tc>
          <w:tcPr>
            <w:tcW w:type="dxa" w:w="3899"/>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Годовая добыча полезного </w:t>
            </w:r>
          </w:p>
          <w:p>
            <w:pPr>
              <w:jc w:val="left"/>
            </w:pPr>
            <w:r>
              <w:rPr>
                <w:rFonts w:ascii="Arial" w:cs="Arial" w:eastAsia="Arial" w:hAnsi="Arial"/>
                <w:sz w:val="24"/>
                <w:szCs w:val="24"/>
              </w:rPr>
              <w:t xml:space="preserve">ископаемого по условиям </w:t>
            </w:r>
          </w:p>
          <w:p>
            <w:pPr>
              <w:jc w:val="left"/>
            </w:pPr>
            <w:r>
              <w:rPr>
                <w:rFonts w:ascii="Arial" w:cs="Arial" w:eastAsia="Arial" w:hAnsi="Arial"/>
                <w:sz w:val="24"/>
                <w:szCs w:val="24"/>
              </w:rPr>
              <w:t xml:space="preserve">лицензионного соглашения</w:t>
            </w:r>
          </w:p>
        </w:tc>
        <w:tc>
          <w:tcPr>
            <w:tcW w:type="dxa" w:w="313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3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w:t>
            </w:r>
            <w:r>
              <w:rPr>
                <w:rFonts w:ascii="Arial" w:cs="Arial" w:eastAsia="Arial" w:hAnsi="Arial"/>
                <w:sz w:val="24"/>
                <w:szCs w:val="24"/>
              </w:rPr>
              <w:t xml:space="preserve">3</w:t>
            </w:r>
          </w:p>
        </w:tc>
      </w:tr>
      <w:tr>
        <w:tc>
          <w:tcPr>
            <w:tcW w:type="dxa" w:w="3899"/>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Фактическая добыча полезного </w:t>
            </w:r>
          </w:p>
          <w:p>
            <w:pPr>
              <w:jc w:val="left"/>
            </w:pPr>
            <w:r>
              <w:rPr>
                <w:rFonts w:ascii="Arial" w:cs="Arial" w:eastAsia="Arial" w:hAnsi="Arial"/>
                <w:sz w:val="24"/>
                <w:szCs w:val="24"/>
              </w:rPr>
              <w:t xml:space="preserve">ископаемого </w:t>
            </w:r>
          </w:p>
          <w:p>
            <w:pPr>
              <w:jc w:val="left"/>
            </w:pPr>
            <w:r>
              <w:rPr>
                <w:rFonts w:ascii="Arial" w:cs="Arial" w:eastAsia="Arial" w:hAnsi="Arial"/>
                <w:sz w:val="24"/>
                <w:szCs w:val="24"/>
              </w:rPr>
              <w:t xml:space="preserve">  за ____ год</w:t>
            </w:r>
          </w:p>
        </w:tc>
        <w:tc>
          <w:tcPr>
            <w:tcW w:type="dxa" w:w="313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3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w:t>
            </w:r>
            <w:r>
              <w:rPr>
                <w:rFonts w:ascii="Arial" w:cs="Arial" w:eastAsia="Arial" w:hAnsi="Arial"/>
                <w:sz w:val="24"/>
                <w:szCs w:val="24"/>
              </w:rPr>
              <w:t xml:space="preserve">3</w:t>
            </w:r>
          </w:p>
        </w:tc>
      </w:tr>
      <w:tr>
        <w:tc>
          <w:tcPr>
            <w:tcW w:type="dxa" w:w="3899"/>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Выполнение условий </w:t>
            </w:r>
          </w:p>
          <w:p>
            <w:pPr>
              <w:jc w:val="left"/>
            </w:pPr>
            <w:r>
              <w:rPr>
                <w:rFonts w:ascii="Arial" w:cs="Arial" w:eastAsia="Arial" w:hAnsi="Arial"/>
                <w:sz w:val="24"/>
                <w:szCs w:val="24"/>
              </w:rPr>
              <w:t xml:space="preserve">лицензионного соглашения</w:t>
            </w:r>
          </w:p>
        </w:tc>
        <w:tc>
          <w:tcPr>
            <w:tcW w:type="dxa" w:w="313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3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3899"/>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Невыполнение условий </w:t>
            </w:r>
          </w:p>
          <w:p>
            <w:pPr>
              <w:jc w:val="left"/>
            </w:pPr>
            <w:r>
              <w:rPr>
                <w:rFonts w:ascii="Arial" w:cs="Arial" w:eastAsia="Arial" w:hAnsi="Arial"/>
                <w:sz w:val="24"/>
                <w:szCs w:val="24"/>
              </w:rPr>
              <w:t xml:space="preserve">лицензионного соглашения</w:t>
            </w:r>
          </w:p>
        </w:tc>
        <w:tc>
          <w:tcPr>
            <w:tcW w:type="dxa" w:w="313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3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3899"/>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313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3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сом</w:t>
            </w:r>
          </w:p>
        </w:tc>
      </w:tr>
      <w:tr>
        <w:tc>
          <w:tcPr>
            <w:tcW w:type="dxa" w:w="5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Сумма за </w:t>
            </w:r>
          </w:p>
          <w:p>
            <w:pPr>
              <w:jc w:val="left"/>
            </w:pPr>
            <w:r>
              <w:rPr>
                <w:rFonts w:ascii="Arial" w:cs="Arial" w:eastAsia="Arial" w:hAnsi="Arial"/>
                <w:sz w:val="24"/>
                <w:szCs w:val="24"/>
              </w:rPr>
              <w:t xml:space="preserve">удержание </w:t>
            </w:r>
          </w:p>
          <w:p>
            <w:pPr>
              <w:jc w:val="left"/>
            </w:pPr>
            <w:r>
              <w:rPr>
                <w:rFonts w:ascii="Arial" w:cs="Arial" w:eastAsia="Arial" w:hAnsi="Arial"/>
                <w:sz w:val="24"/>
                <w:szCs w:val="24"/>
              </w:rPr>
              <w:t xml:space="preserve">лицензии за </w:t>
            </w:r>
          </w:p>
          <w:p>
            <w:pPr>
              <w:jc w:val="left"/>
            </w:pPr>
            <w:r>
              <w:rPr>
                <w:rFonts w:ascii="Arial" w:cs="Arial" w:eastAsia="Arial" w:hAnsi="Arial"/>
                <w:sz w:val="24"/>
                <w:szCs w:val="24"/>
              </w:rPr>
              <w:t xml:space="preserve">20__ г.</w:t>
            </w:r>
          </w:p>
        </w:tc>
        <w:tc>
          <w:tcPr>
            <w:tcW w:type="dxa" w:w="111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месяц</w:t>
            </w:r>
          </w:p>
        </w:tc>
        <w:tc>
          <w:tcPr>
            <w:tcW w:type="dxa" w:w="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Январь</w:t>
            </w:r>
          </w:p>
        </w:tc>
        <w:tc>
          <w:tcPr>
            <w:tcW w:type="dxa" w:w="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Февраль</w:t>
            </w:r>
          </w:p>
        </w:tc>
        <w:tc>
          <w:tcPr>
            <w:tcW w:type="dxa" w:w="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Март</w:t>
            </w:r>
          </w:p>
        </w:tc>
        <w:tc>
          <w:tcPr>
            <w:tcW w:type="dxa" w:w="160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Апрель</w:t>
            </w:r>
          </w:p>
        </w:tc>
        <w:tc>
          <w:tcPr>
            <w:tcW w:type="dxa" w:w="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Май</w:t>
            </w:r>
          </w:p>
        </w:tc>
        <w:tc>
          <w:tcPr>
            <w:tcW w:type="dxa" w:w="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Июнь</w:t>
            </w:r>
          </w:p>
        </w:tc>
        <w:tc>
          <w:tcPr>
            <w:tcW w:type="dxa" w:w="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Июль</w:t>
            </w:r>
          </w:p>
        </w:tc>
        <w:tc>
          <w:tcPr>
            <w:tcW w:type="dxa" w:w="10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Август</w:t>
            </w:r>
          </w:p>
        </w:tc>
        <w:tc>
          <w:tcPr>
            <w:tcW w:type="dxa" w:w="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Сентябрь</w:t>
            </w:r>
          </w:p>
        </w:tc>
        <w:tc>
          <w:tcPr>
            <w:tcW w:type="dxa" w:w="10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Октябрь</w:t>
            </w:r>
          </w:p>
        </w:tc>
        <w:tc>
          <w:tcPr>
            <w:tcW w:type="dxa" w:w="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Ноябрь</w:t>
            </w:r>
          </w:p>
        </w:tc>
        <w:tc>
          <w:tcPr>
            <w:tcW w:type="dxa" w:w="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Декабрь</w:t>
            </w:r>
          </w:p>
        </w:tc>
      </w:tr>
      <w:tr>
        <w:tc>
          <w:tcPr>
            <w:tcW w:type="dxa" w:w="5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w:t>
            </w:r>
          </w:p>
          <w:p>
            <w:pPr>
              <w:jc w:val="left"/>
            </w:pPr>
            <w:r>
              <w:rPr>
                <w:rFonts w:ascii="Arial" w:cs="Arial" w:eastAsia="Arial" w:hAnsi="Arial"/>
                <w:sz w:val="24"/>
                <w:szCs w:val="24"/>
              </w:rPr>
              <w:t xml:space="preserve">платежа </w:t>
            </w:r>
          </w:p>
          <w:p>
            <w:pPr>
              <w:jc w:val="left"/>
            </w:pPr>
            <w:r>
              <w:rPr>
                <w:rFonts w:ascii="Arial" w:cs="Arial" w:eastAsia="Arial" w:hAnsi="Arial"/>
                <w:sz w:val="24"/>
                <w:szCs w:val="24"/>
              </w:rPr>
              <w:t xml:space="preserve">(сом)</w:t>
            </w:r>
          </w:p>
        </w:tc>
        <w:tc>
          <w:tcPr>
            <w:tcW w:type="dxa" w:w="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5"/>
            <w:gridSpan w:val="1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Составлено:</w:t>
            </w:r>
          </w:p>
        </w:tc>
      </w:tr>
      <w:tr>
        <w:tc>
          <w:tcPr>
            <w:tcW w:type="dxa" w:w="4422"/>
            <w:gridSpan w:val="8"/>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Занимаемая должность</w:t>
            </w:r>
          </w:p>
        </w:tc>
        <w:tc>
          <w:tcPr>
            <w:tcW w:type="dxa" w:w="4184"/>
            <w:gridSpan w:val="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подпись</w:t>
            </w:r>
          </w:p>
        </w:tc>
        <w:tc>
          <w:tcPr>
            <w:tcW w:type="dxa" w:w="1569"/>
            <w:gridSpan w:val="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фио</w:t>
            </w:r>
          </w:p>
        </w:tc>
      </w:tr>
      <w:tr>
        <w:tc>
          <w:tcPr>
            <w:tcW w:type="dxa" w:w="4422"/>
            <w:gridSpan w:val="8"/>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
            </w:r>
          </w:p>
        </w:tc>
        <w:tc>
          <w:tcPr>
            <w:tcW w:type="dxa" w:w="4184"/>
            <w:gridSpan w:val="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569"/>
            <w:gridSpan w:val="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1114"/>
            <w:gridSpan w:val="2"/>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
            </w:r>
          </w:p>
        </w:tc>
        <w:tc>
          <w:tcPr>
            <w:tcW w:type="dxa" w:w="9061"/>
            <w:gridSpan w:val="1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М.П.</w:t>
            </w:r>
          </w:p>
        </w:tc>
      </w:tr>
      <w:tr>
        <w:tc>
          <w:tcPr>
            <w:tcW w:type="dxa" w:w="1114"/>
            <w:gridSpan w:val="2"/>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
            </w:r>
          </w:p>
        </w:tc>
        <w:tc>
          <w:tcPr>
            <w:tcW w:type="dxa" w:w="9061"/>
            <w:gridSpan w:val="1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1114"/>
            <w:gridSpan w:val="2"/>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
            </w:r>
          </w:p>
        </w:tc>
        <w:tc>
          <w:tcPr>
            <w:tcW w:type="dxa" w:w="9061"/>
            <w:gridSpan w:val="1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Контактный телефон</w:t>
            </w:r>
          </w:p>
        </w:tc>
      </w:tr>
      <w:tr>
        <w:tc>
          <w:tcPr>
            <w:tcW w:type="dxa" w:w="10175"/>
            <w:gridSpan w:val="1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10175"/>
            <w:gridSpan w:val="1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Согласовано:</w:t>
            </w:r>
          </w:p>
        </w:tc>
      </w:tr>
      <w:tr>
        <w:tc>
          <w:tcPr>
            <w:tcW w:type="dxa" w:w="4422"/>
            <w:gridSpan w:val="8"/>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Занимаемая должность</w:t>
            </w:r>
          </w:p>
        </w:tc>
        <w:tc>
          <w:tcPr>
            <w:tcW w:type="dxa" w:w="4184"/>
            <w:gridSpan w:val="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подпись</w:t>
            </w:r>
          </w:p>
        </w:tc>
        <w:tc>
          <w:tcPr>
            <w:tcW w:type="dxa" w:w="1569"/>
            <w:gridSpan w:val="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фио</w:t>
            </w:r>
          </w:p>
        </w:tc>
      </w:tr>
      <w:tr>
        <w:tc>
          <w:tcPr>
            <w:tcW w:type="dxa" w:w="10175"/>
            <w:gridSpan w:val="1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УГО по недропользованию</w:t>
            </w:r>
          </w:p>
        </w:tc>
      </w:tr>
      <w:tr>
        <w:tc>
          <w:tcPr>
            <w:tcW w:type="dxa" w:w="10175"/>
            <w:gridSpan w:val="1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10175"/>
            <w:gridSpan w:val="1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Отчет сбора при разработке (на стадии проведения работ) месторождений полезных ископаемых представляется через кабинет налогоплательщика и уплата сбора производится до 1 марта.</w:t>
            </w:r>
          </w:p>
          <w:p>
            <w:pPr>
              <w:jc w:val="both"/>
            </w:pPr>
            <w:r>
              <w:rPr>
                <w:rFonts w:ascii="Arial" w:cs="Arial" w:eastAsia="Arial" w:hAnsi="Arial"/>
                <w:sz w:val="24"/>
                <w:szCs w:val="24"/>
              </w:rPr>
              <w:t xml:space="preserve">В случаях принятия решения УГО по недропользованию, приводящего к изменению суммы обязательства, предоставляется уточненный отчет через кабинет налогоплательщика.</w:t>
            </w:r>
          </w:p>
          <w:p>
            <w:pPr>
              <w:jc w:val="both"/>
            </w:pPr>
            <w:r>
              <w:rPr>
                <w:rFonts w:ascii="Arial" w:cs="Arial" w:eastAsia="Arial" w:hAnsi="Arial"/>
                <w:sz w:val="24"/>
                <w:szCs w:val="24"/>
              </w:rPr>
              <w:t xml:space="preserve">(*) РП - расчетный показатель согласно </w:t>
            </w:r>
            <w:hyperlink w:history="1" r:id="rIdlorpsv0s6znjsjsw4rsqp">
              <w:r>
                <w:rPr>
                  <w:rFonts w:ascii="Arial" w:cs="Arial" w:eastAsia="Arial" w:hAnsi="Arial"/>
                  <w:color w:val="1D4ED8"/>
                  <w:sz w:val="24"/>
                  <w:szCs w:val="24"/>
                  <w:u w:val="single"/>
                </w:rPr>
                <w:t xml:space="preserve">Закону</w:t>
              </w:r>
            </w:hyperlink>
            <w:r>
              <w:rPr>
                <w:rFonts w:ascii="Arial" w:cs="Arial" w:eastAsia="Arial" w:hAnsi="Arial"/>
                <w:sz w:val="24"/>
                <w:szCs w:val="24"/>
              </w:rPr>
              <w:t xml:space="preserve"> Кыргызской Республики «О расчетном показателе».</w:t>
            </w:r>
          </w:p>
          <w:p>
            <w:pPr>
              <w:jc w:val="both"/>
            </w:pPr>
            <w:r>
              <w:rPr>
                <w:rFonts w:ascii="Arial" w:cs="Arial" w:eastAsia="Arial" w:hAnsi="Arial"/>
                <w:sz w:val="24"/>
                <w:szCs w:val="24"/>
              </w:rPr>
              <w:t xml:space="preserve">Уплата сбора производится напрямую в бюджеты органов местного самоуправления. При этом:</w:t>
            </w:r>
          </w:p>
          <w:p>
            <w:pPr>
              <w:jc w:val="both"/>
            </w:pPr>
            <w:r>
              <w:rPr>
                <w:rFonts w:ascii="Arial" w:cs="Arial" w:eastAsia="Arial" w:hAnsi="Arial"/>
                <w:sz w:val="24"/>
                <w:szCs w:val="24"/>
              </w:rPr>
              <w:t xml:space="preserve">1) если лицензионная площадь находится на территории нескольких административно-территориальных единиц, уплата сбора производится на счет каждого органа местного самоуправления, пропорционально площади, которая находится на территории той или иной административно-территориальной единицы;</w:t>
            </w:r>
          </w:p>
          <w:p>
            <w:pPr>
              <w:jc w:val="both"/>
            </w:pPr>
            <w:r>
              <w:rPr>
                <w:rFonts w:ascii="Arial" w:cs="Arial" w:eastAsia="Arial" w:hAnsi="Arial"/>
                <w:sz w:val="24"/>
                <w:szCs w:val="24"/>
              </w:rPr>
              <w:t xml:space="preserve">2) если лицензионная площадь или ее часть не входит в границы айылного аймака, города, то сборы по такой лицензионной площади направляются в республиканский бюджет.</w:t>
            </w:r>
          </w:p>
        </w:tc>
      </w:tr>
      <w:tr>
        <w:tc>
          <w:tcPr>
            <w:tcW w:type="dxa" w:w="55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5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5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5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5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5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5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2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2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2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2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2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2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2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2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2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2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2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2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w:t>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5</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Ежеквартальная информация о плательщиках сбора за удержание лицензии при поиске,</w:t>
      </w:r>
    </w:p>
    <w:p>
      <w:pPr>
        <w:spacing w:after="240" w:before="200"/>
        <w:jc w:val="center"/>
      </w:pPr>
      <w:r>
        <w:rPr>
          <w:rFonts w:ascii="Arial" w:cs="Arial" w:eastAsia="Arial" w:hAnsi="Arial"/>
          <w:b/>
          <w:bCs/>
          <w:sz w:val="32"/>
          <w:szCs w:val="32"/>
        </w:rPr>
        <w:t xml:space="preserve">разведке и разработке (на стадии проектирования) месторождений полезных ископаемых</w:t>
      </w:r>
    </w:p>
    <w:p>
      <w:pPr>
        <w:spacing w:after="240" w:before="200"/>
        <w:jc w:val="center"/>
      </w:pPr>
      <w:r>
        <w:rPr>
          <w:rFonts w:ascii="Arial" w:cs="Arial" w:eastAsia="Arial" w:hAnsi="Arial"/>
          <w:b/>
          <w:bCs/>
          <w:sz w:val="32"/>
          <w:szCs w:val="32"/>
        </w:rPr>
        <w:t xml:space="preserve">за ____________ месяц 20__ года</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79"/>
        <w:gridCol w:w="679"/>
        <w:gridCol w:w="679"/>
        <w:gridCol w:w="679"/>
        <w:gridCol w:w="679"/>
        <w:gridCol w:w="679"/>
        <w:gridCol w:w="679"/>
        <w:gridCol w:w="679"/>
        <w:gridCol w:w="679"/>
        <w:gridCol w:w="679"/>
        <w:gridCol w:w="679"/>
        <w:gridCol w:w="679"/>
        <w:gridCol w:w="679"/>
        <w:gridCol w:w="679"/>
        <w:gridCol w:w="679"/>
      </w:tblGrid>
      <w:tr>
        <w:tc>
          <w:tcPr>
            <w:tcW w:type="dxa" w:w="67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w:t>
            </w:r>
          </w:p>
          <w:p>
            <w:pPr>
              <w:jc w:val="center"/>
            </w:pPr>
            <w:r>
              <w:rPr>
                <w:rFonts w:ascii="Arial" w:cs="Arial" w:eastAsia="Arial" w:hAnsi="Arial"/>
                <w:sz w:val="24"/>
                <w:szCs w:val="24"/>
              </w:rPr>
              <w:t xml:space="preserve">п/п</w:t>
            </w:r>
          </w:p>
        </w:tc>
        <w:tc>
          <w:tcPr>
            <w:tcW w:type="dxa" w:w="67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Наименование плательщика (недропользователя)</w:t>
            </w:r>
          </w:p>
        </w:tc>
        <w:tc>
          <w:tcPr>
            <w:tcW w:type="dxa" w:w="67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ИНН</w:t>
            </w:r>
          </w:p>
        </w:tc>
        <w:tc>
          <w:tcPr>
            <w:tcW w:type="dxa" w:w="67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Код территориального налогового органа по учетной регистрации</w:t>
            </w:r>
          </w:p>
        </w:tc>
        <w:tc>
          <w:tcPr>
            <w:tcW w:type="dxa" w:w="67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Наименование айыл окмоту</w:t>
            </w:r>
          </w:p>
        </w:tc>
        <w:tc>
          <w:tcPr>
            <w:tcW w:type="dxa" w:w="67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Вид недропользования (поиск, разведка, разработка)</w:t>
            </w:r>
          </w:p>
        </w:tc>
        <w:tc>
          <w:tcPr>
            <w:tcW w:type="dxa" w:w="67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Вид полезного ископаемого</w:t>
            </w:r>
          </w:p>
        </w:tc>
        <w:tc>
          <w:tcPr>
            <w:tcW w:type="dxa" w:w="67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Статус лицензии первоначальный, возобновление, восстановление, прекращение (аннулирование), трансформация, передача лицензии</w:t>
            </w:r>
          </w:p>
        </w:tc>
        <w:tc>
          <w:tcPr>
            <w:tcW w:type="dxa" w:w="67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Номер лицензии</w:t>
            </w:r>
          </w:p>
        </w:tc>
        <w:tc>
          <w:tcPr>
            <w:tcW w:type="dxa" w:w="67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Срок действия лицензии</w:t>
            </w:r>
          </w:p>
        </w:tc>
        <w:tc>
          <w:tcPr>
            <w:tcW w:type="dxa" w:w="67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Размер площади, км</w:t>
            </w:r>
            <w:r>
              <w:rPr>
                <w:rFonts w:ascii="Arial" w:cs="Arial" w:eastAsia="Arial" w:hAnsi="Arial"/>
                <w:sz w:val="24"/>
                <w:szCs w:val="24"/>
              </w:rPr>
              <w:t xml:space="preserve">2</w:t>
            </w:r>
          </w:p>
        </w:tc>
        <w:tc>
          <w:tcPr>
            <w:tcW w:type="dxa" w:w="67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Ставка сбора за кв. км, га по годам</w:t>
            </w:r>
          </w:p>
        </w:tc>
        <w:tc>
          <w:tcPr>
            <w:tcW w:type="dxa" w:w="67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МРП</w:t>
            </w:r>
          </w:p>
        </w:tc>
        <w:tc>
          <w:tcPr>
            <w:tcW w:type="dxa" w:w="67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Итоговая сумма сбора за год = (гр. 11 * гр. 12 * гр. 13)</w:t>
            </w:r>
          </w:p>
        </w:tc>
        <w:tc>
          <w:tcPr>
            <w:tcW w:type="dxa" w:w="67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Сумма сбора за месяц = (гр. 14 / 12 мес.)</w:t>
            </w:r>
          </w:p>
        </w:tc>
      </w:tr>
      <w:tr>
        <w:tc>
          <w:tcPr>
            <w:tcW w:type="dxa" w:w="6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r>
        <w:tc>
          <w:tcPr>
            <w:tcW w:type="dxa" w:w="6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397"/>
        <w:jc w:val="center"/>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Занимаемая должность</w:t>
      </w:r>
      <w:r>
        <w:rPr>
          <w:rFonts w:ascii="Arial" w:cs="Arial" w:eastAsia="Arial" w:hAnsi="Arial"/>
          <w:sz w:val="24"/>
          <w:szCs w:val="24"/>
        </w:rPr>
        <w:t xml:space="preserve">	</w:t>
      </w:r>
      <w:r>
        <w:rPr>
          <w:rFonts w:ascii="Arial" w:cs="Arial" w:eastAsia="Arial" w:hAnsi="Arial"/>
          <w:sz w:val="24"/>
          <w:szCs w:val="24"/>
        </w:rPr>
        <w:t xml:space="preserve">ФИО должностного лица</w:t>
      </w:r>
    </w:p>
    <w:p>
      <w:pPr>
        <w:spacing w:after="60"/>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М.П.</w:t>
      </w:r>
    </w:p>
    <w:p>
      <w:pPr>
        <w:spacing w:after="60"/>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Контактный номер телефона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6 </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Ежегодная информация о плательщиках сбора за удержание лицензии при разработке (на</w:t>
      </w:r>
    </w:p>
    <w:p>
      <w:pPr>
        <w:spacing w:after="240" w:before="200"/>
        <w:jc w:val="center"/>
      </w:pPr>
      <w:r>
        <w:rPr>
          <w:rFonts w:ascii="Arial" w:cs="Arial" w:eastAsia="Arial" w:hAnsi="Arial"/>
          <w:b/>
          <w:bCs/>
          <w:sz w:val="32"/>
          <w:szCs w:val="32"/>
        </w:rPr>
        <w:t xml:space="preserve">стадии проведения работ) месторождений полезных ископаемых за _______________ месяц</w:t>
      </w:r>
    </w:p>
    <w:p>
      <w:pPr>
        <w:spacing w:after="240" w:before="200"/>
        <w:jc w:val="center"/>
      </w:pPr>
      <w:r>
        <w:rPr>
          <w:rFonts w:ascii="Arial" w:cs="Arial" w:eastAsia="Arial" w:hAnsi="Arial"/>
          <w:b/>
          <w:bCs/>
          <w:sz w:val="32"/>
          <w:szCs w:val="32"/>
        </w:rPr>
        <w:t xml:space="preserve">20__ года</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79"/>
        <w:gridCol w:w="816"/>
        <w:gridCol w:w="224"/>
        <w:gridCol w:w="709"/>
        <w:gridCol w:w="725"/>
        <w:gridCol w:w="733"/>
        <w:gridCol w:w="515"/>
        <w:gridCol w:w="399"/>
        <w:gridCol w:w="474"/>
        <w:gridCol w:w="578"/>
        <w:gridCol w:w="407"/>
        <w:gridCol w:w="312"/>
        <w:gridCol w:w="228"/>
        <w:gridCol w:w="446"/>
        <w:gridCol w:w="307"/>
        <w:gridCol w:w="407"/>
        <w:gridCol w:w="521"/>
        <w:gridCol w:w="595"/>
        <w:gridCol w:w="595"/>
        <w:gridCol w:w="487"/>
        <w:gridCol w:w="521"/>
      </w:tblGrid>
      <w:tr>
        <w:tc>
          <w:tcPr>
            <w:tcW w:type="dxa" w:w="17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w:t>
            </w:r>
          </w:p>
          <w:p>
            <w:pPr>
              <w:jc w:val="center"/>
            </w:pPr>
            <w:r>
              <w:rPr>
                <w:rFonts w:ascii="Arial" w:cs="Arial" w:eastAsia="Arial" w:hAnsi="Arial"/>
                <w:sz w:val="24"/>
                <w:szCs w:val="24"/>
              </w:rPr>
              <w:t xml:space="preserve">п/п</w:t>
            </w:r>
          </w:p>
        </w:tc>
        <w:tc>
          <w:tcPr>
            <w:tcW w:type="dxa" w:w="81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Наименование плательщика (недропользователя)</w:t>
            </w:r>
          </w:p>
        </w:tc>
        <w:tc>
          <w:tcPr>
            <w:tcW w:type="dxa" w:w="22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ИНН</w:t>
            </w:r>
          </w:p>
        </w:tc>
        <w:tc>
          <w:tcPr>
            <w:tcW w:type="dxa" w:w="70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Код территориального налогового органа по учетной регистрации</w:t>
            </w:r>
          </w:p>
        </w:tc>
        <w:tc>
          <w:tcPr>
            <w:tcW w:type="dxa" w:w="72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Вид бюджета (республиканский, местный)</w:t>
            </w:r>
          </w:p>
        </w:tc>
        <w:tc>
          <w:tcPr>
            <w:tcW w:type="dxa" w:w="73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Вид недропользования (поиск, разведка, разработка)</w:t>
            </w:r>
          </w:p>
        </w:tc>
        <w:tc>
          <w:tcPr>
            <w:tcW w:type="dxa" w:w="51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Вид полезного ископаемого</w:t>
            </w:r>
          </w:p>
        </w:tc>
        <w:tc>
          <w:tcPr>
            <w:tcW w:type="dxa" w:w="39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Номер лицензии</w:t>
            </w:r>
          </w:p>
        </w:tc>
        <w:tc>
          <w:tcPr>
            <w:tcW w:type="dxa" w:w="47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Срок действия лицензии (всего количество месяцев)</w:t>
            </w:r>
          </w:p>
        </w:tc>
        <w:tc>
          <w:tcPr>
            <w:tcW w:type="dxa" w:w="57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Наименование айыл окмоту</w:t>
            </w:r>
          </w:p>
        </w:tc>
        <w:tc>
          <w:tcPr>
            <w:tcW w:type="dxa" w:w="40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Размер площади, км</w:t>
            </w:r>
            <w:r>
              <w:rPr>
                <w:rFonts w:ascii="Arial" w:cs="Arial" w:eastAsia="Arial" w:hAnsi="Arial"/>
                <w:sz w:val="24"/>
                <w:szCs w:val="24"/>
              </w:rPr>
              <w:t xml:space="preserve">2</w:t>
            </w:r>
          </w:p>
        </w:tc>
        <w:tc>
          <w:tcPr>
            <w:tcW w:type="dxa" w:w="31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Ставка сбора за кв. км, га по годам</w:t>
            </w:r>
          </w:p>
        </w:tc>
        <w:tc>
          <w:tcPr>
            <w:tcW w:type="dxa" w:w="22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МРП</w:t>
            </w:r>
          </w:p>
        </w:tc>
        <w:tc>
          <w:tcPr>
            <w:tcW w:type="dxa" w:w="44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Сбор за удержание лицензии и за отчетный год = (гр. 11 * гр. 12 * гр. 13)</w:t>
            </w:r>
          </w:p>
        </w:tc>
        <w:tc>
          <w:tcPr>
            <w:tcW w:type="dxa" w:w="30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Сумма сбора за месяц = (гр. 14 / 12 мес.)</w:t>
            </w:r>
          </w:p>
        </w:tc>
        <w:tc>
          <w:tcPr>
            <w:tcW w:type="dxa" w:w="40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Годовая добыча за отчетный год</w:t>
            </w:r>
          </w:p>
        </w:tc>
        <w:tc>
          <w:tcPr>
            <w:tcW w:type="dxa" w:w="52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Фактическая добыча за отчетный год</w:t>
            </w:r>
          </w:p>
        </w:tc>
        <w:tc>
          <w:tcPr>
            <w:tcW w:type="dxa" w:w="59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Выполнение условий лицензионного соглашения в %</w:t>
            </w:r>
          </w:p>
        </w:tc>
        <w:tc>
          <w:tcPr>
            <w:tcW w:type="dxa" w:w="59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Невыполнение условий лицензионного соглашения в %</w:t>
            </w:r>
          </w:p>
        </w:tc>
        <w:tc>
          <w:tcPr>
            <w:tcW w:type="dxa" w:w="48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Сумма сбора за удержание лицензии по условиям соглашения</w:t>
            </w:r>
          </w:p>
        </w:tc>
        <w:tc>
          <w:tcPr>
            <w:tcW w:type="dxa" w:w="52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Фактическая сумма сбора за месяц</w:t>
            </w:r>
          </w:p>
        </w:tc>
      </w:tr>
      <w:tr>
        <w:tc>
          <w:tcPr>
            <w:tcW w:type="dxa" w:w="1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8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7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7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7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5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4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4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5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4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5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r>
      <w:tr>
        <w:tc>
          <w:tcPr>
            <w:tcW w:type="dxa" w:w="1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397"/>
        <w:jc w:val="center"/>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Занимаемая должность</w:t>
      </w:r>
      <w:r>
        <w:rPr>
          <w:rFonts w:ascii="Arial" w:cs="Arial" w:eastAsia="Arial" w:hAnsi="Arial"/>
          <w:sz w:val="24"/>
          <w:szCs w:val="24"/>
        </w:rPr>
        <w:t xml:space="preserve">	</w:t>
      </w:r>
      <w:r>
        <w:rPr>
          <w:rFonts w:ascii="Arial" w:cs="Arial" w:eastAsia="Arial" w:hAnsi="Arial"/>
          <w:sz w:val="24"/>
          <w:szCs w:val="24"/>
        </w:rPr>
        <w:t xml:space="preserve">ФИО должностного лица</w:t>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М.П.</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Контактный номер телефона</w:t>
      </w:r>
      <w:r>
        <w:rPr>
          <w:rFonts w:ascii="Arial" w:cs="Arial" w:eastAsia="Arial" w:hAnsi="Arial"/>
          <w:sz w:val="24"/>
          <w:szCs w:val="24"/>
        </w:rPr>
        <w:t xml:space="preserve">	</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sx7u2t95e7io-pkno24j">
      <w:r>
        <w:rPr>
          <w:rFonts w:ascii="Arial" w:cs="Arial" w:eastAsia="Arial" w:hAnsi="Arial"/>
          <w:color w:val="132D3F"/>
          <w:sz w:val="16"/>
          <w:szCs w:val="16"/>
          <w:u w:val="single"/>
        </w:rPr>
        <w:t xml:space="preserve">dalil.kg/document/230035734</w:t>
      </w:r>
    </w:hyperlink>
  </w:p>
  <w:p>
    <w:pPr>
      <w:spacing w:after="0" w:before="40"/>
      <w:jc w:val="center"/>
    </w:pPr>
    <w:hyperlink w:history="1" r:id="rIdtxixlavypeloasuefnqd0">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lzzyu3tlezc-0hld3x81" Type="http://schemas.openxmlformats.org/officeDocument/2006/relationships/hyperlink" Target="https://dalil.kg/document/111820#st_14" TargetMode="External"/><Relationship Id="rId3_dhxnpua5cb3dfzfjip7" Type="http://schemas.openxmlformats.org/officeDocument/2006/relationships/hyperlink" Target="https://dalil.kg/document/111820#st_16" TargetMode="External"/><Relationship Id="rIdlbbqao8ea2_ql9vycftfd" Type="http://schemas.openxmlformats.org/officeDocument/2006/relationships/hyperlink" Target="https://dalil.kg/document/111820#st_22" TargetMode="External"/><Relationship Id="rIdsmj6c8tzgfm0z3oxx9iyx" Type="http://schemas.openxmlformats.org/officeDocument/2006/relationships/hyperlink" Target="https://dalil.kg/document/111820#st_26" TargetMode="External"/><Relationship Id="rId9kjgq5r8-b1ocetj06hvv" Type="http://schemas.openxmlformats.org/officeDocument/2006/relationships/hyperlink" Target="https://dalil.kg/document/111820#st_29" TargetMode="External"/><Relationship Id="rIdzicuxoxec95iddvankdo6" Type="http://schemas.openxmlformats.org/officeDocument/2006/relationships/hyperlink" Target="https://dalil.kg/document/111820#st_39" TargetMode="External"/><Relationship Id="rIdgk7y6pf90mbnl3wpau2xu" Type="http://schemas.openxmlformats.org/officeDocument/2006/relationships/hyperlink" Target="https://dalil.kg/document/112301#st_13" TargetMode="External"/><Relationship Id="rIdbzkufvwxra7fchub9d6e3" Type="http://schemas.openxmlformats.org/officeDocument/2006/relationships/hyperlink" Target="https://dalil.kg/document/112301#st_17" TargetMode="External"/><Relationship Id="rIdyj3i4dnl35ujebwvmyht3" Type="http://schemas.openxmlformats.org/officeDocument/2006/relationships/hyperlink" Target="https://dalil.kg/document/159385" TargetMode="External"/><Relationship Id="rId_hl3qizuyguf3pzkd-7kq" Type="http://schemas.openxmlformats.org/officeDocument/2006/relationships/hyperlink" Target="https://dalil.kg/document/159386" TargetMode="External"/><Relationship Id="rIdslacezx1jcp9vx1e9p7kp" Type="http://schemas.openxmlformats.org/officeDocument/2006/relationships/hyperlink" Target="https://dalil.kg/document/159386" TargetMode="External"/><Relationship Id="rIdvc5jjk2esvz3y-oqv44sb" Type="http://schemas.openxmlformats.org/officeDocument/2006/relationships/hyperlink" Target="https://dalil.kg/document/159385" TargetMode="External"/><Relationship Id="rIdbwevhfz_tqek7y6k0dkpl" Type="http://schemas.openxmlformats.org/officeDocument/2006/relationships/hyperlink" Target="https://dalil.kg/document/111254" TargetMode="External"/><Relationship Id="rIdwwtzkyoy4metet0gjxwkz" Type="http://schemas.openxmlformats.org/officeDocument/2006/relationships/hyperlink" Target="https://dalil.kg/document/159386#pr1" TargetMode="External"/><Relationship Id="rId162yalww8mfsxvh3fjzld" Type="http://schemas.openxmlformats.org/officeDocument/2006/relationships/hyperlink" Target="https://dalil.kg/document/159386#pr2" TargetMode="External"/><Relationship Id="rIdxpqatfjnmwpq_e9avszlb" Type="http://schemas.openxmlformats.org/officeDocument/2006/relationships/hyperlink" Target="https://dalil.kg/document/159386#pr3" TargetMode="External"/><Relationship Id="rId404k67tf8_ebv_sos58na" Type="http://schemas.openxmlformats.org/officeDocument/2006/relationships/hyperlink" Target="https://dalil.kg/document/159386#pr4" TargetMode="External"/><Relationship Id="rIdgwb4gkvlx86sb_m0vbnwq" Type="http://schemas.openxmlformats.org/officeDocument/2006/relationships/hyperlink" Target="https://dalil.kg/document/159386#g7" TargetMode="External"/><Relationship Id="rIdotyusfimvhb_ssto0fxdg" Type="http://schemas.openxmlformats.org/officeDocument/2006/relationships/hyperlink" Target="https://dalil.kg/document/159386#p7" TargetMode="External"/><Relationship Id="rIdlj7oizv0przxmwfzfk7zt" Type="http://schemas.openxmlformats.org/officeDocument/2006/relationships/hyperlink" Target="https://dalil.kg/document/159386#p11" TargetMode="External"/><Relationship Id="rIdpdsose8rxutqwvkyk3-n3" Type="http://schemas.openxmlformats.org/officeDocument/2006/relationships/hyperlink" Target="https://dalil.kg/document/159386#p7" TargetMode="External"/><Relationship Id="rIdtpzkhkkyj3yodaerzfnzc" Type="http://schemas.openxmlformats.org/officeDocument/2006/relationships/hyperlink" Target="https://dalil.kg/document/159386#pr5" TargetMode="External"/><Relationship Id="rIdp7kr47csdf49obkdpccq4" Type="http://schemas.openxmlformats.org/officeDocument/2006/relationships/hyperlink" Target="https://dalil.kg/document/159386#p20" TargetMode="External"/><Relationship Id="rIdqs2mredwveulyz-u9n0mi" Type="http://schemas.openxmlformats.org/officeDocument/2006/relationships/hyperlink" Target="https://dalil.kg/document/159386#p13" TargetMode="External"/><Relationship Id="rIdouko329kxpolknun7kye-" Type="http://schemas.openxmlformats.org/officeDocument/2006/relationships/hyperlink" Target="https://dalil.kg/document/159386#p13" TargetMode="External"/><Relationship Id="rIdffkk-luragd7n48cq8xuj" Type="http://schemas.openxmlformats.org/officeDocument/2006/relationships/hyperlink" Target="https://dalil.kg/document/159386#p11" TargetMode="External"/><Relationship Id="rIdjbvxbvi90kjeujctiwub1" Type="http://schemas.openxmlformats.org/officeDocument/2006/relationships/hyperlink" Target="https://dalil.kg/document/159386#p13" TargetMode="External"/><Relationship Id="rId7hwgc4aloxd43fooj_bfy" Type="http://schemas.openxmlformats.org/officeDocument/2006/relationships/hyperlink" Target="https://dalil.kg/document/159386#p21" TargetMode="External"/><Relationship Id="rIdbsmon0x4cjqivpbnxfel8" Type="http://schemas.openxmlformats.org/officeDocument/2006/relationships/hyperlink" Target="https://dalil.kg/document/159386#p22" TargetMode="External"/><Relationship Id="rId8elj7dmi2yyk2aunqynly" Type="http://schemas.openxmlformats.org/officeDocument/2006/relationships/hyperlink" Target="https://dalil.kg/document/159386#p13" TargetMode="External"/><Relationship Id="rIdihczj0jvk747x8ehjhcct" Type="http://schemas.openxmlformats.org/officeDocument/2006/relationships/hyperlink" Target="https://dalil.kg/document/159386#p13" TargetMode="External"/><Relationship Id="rIdrigrhd-cuoqv3k-i2iz9m" Type="http://schemas.openxmlformats.org/officeDocument/2006/relationships/hyperlink" Target="https://dalil.kg/document/111254" TargetMode="External"/><Relationship Id="rId-pcqv2q2dbqwlkde58j-m" Type="http://schemas.openxmlformats.org/officeDocument/2006/relationships/hyperlink" Target="https://dalil.kg/document/159386#p11" TargetMode="External"/><Relationship Id="rIdelx8c1o5_fmhnsw3a8d9t" Type="http://schemas.openxmlformats.org/officeDocument/2006/relationships/hyperlink" Target="https://dalil.kg/document/159386#pr6" TargetMode="External"/><Relationship Id="rIdhu2_htjmjxb_l8pzwlx5i" Type="http://schemas.openxmlformats.org/officeDocument/2006/relationships/hyperlink" Target="https://dalil.kg/document/159386#pr2" TargetMode="External"/><Relationship Id="rIdm2kwuvloqhnwwevf7lfn0" Type="http://schemas.openxmlformats.org/officeDocument/2006/relationships/hyperlink" Target="https://dalil.kg/document/159385#pr2" TargetMode="External"/><Relationship Id="rIdhmgmyq78b61zbfk9vafox" Type="http://schemas.openxmlformats.org/officeDocument/2006/relationships/hyperlink" Target="https://dalil.kg/document/159385#pr3" TargetMode="External"/><Relationship Id="rIdi5xyq7uwsah0-ypa3doa0" Type="http://schemas.openxmlformats.org/officeDocument/2006/relationships/hyperlink" Target="https://dalil.kg/document/1801" TargetMode="External"/><Relationship Id="rIdnswitjt23wbdrning2_v3" Type="http://schemas.openxmlformats.org/officeDocument/2006/relationships/hyperlink" Target="https://dalil.kg/document/159386#pr4" TargetMode="External"/><Relationship Id="rIdpew6vmxzc-u9d4fqe68ul" Type="http://schemas.openxmlformats.org/officeDocument/2006/relationships/hyperlink" Target="https://dalil.kg/document/159385#pr4" TargetMode="External"/><Relationship Id="rIdlsqjis2uajps7mzgyzpiq" Type="http://schemas.openxmlformats.org/officeDocument/2006/relationships/hyperlink" Target="https://dalil.kg/document/1801" TargetMode="External"/><Relationship Id="rIdfps4pxj0fzsbvebjxfyrt" Type="http://schemas.openxmlformats.org/officeDocument/2006/relationships/hyperlink" Target="https://dalil.kg/document/1801" TargetMode="External"/><Relationship Id="rIdlorpsv0s6znjsjsw4rsqp" Type="http://schemas.openxmlformats.org/officeDocument/2006/relationships/hyperlink" Target="https://dalil.kg/document/1801" TargetMode="External"/><Relationship Id="rId8" Type="http://schemas.openxmlformats.org/officeDocument/2006/relationships/image" Target="media/8de64316e95979c063c17bcd5380dc052a2594e9.png"/><Relationship Id="rId5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sx7u2t95e7io-pkno24j" Type="http://schemas.openxmlformats.org/officeDocument/2006/relationships/hyperlink" Target="https://dalil.kg/document/230035734" TargetMode="External"/><Relationship Id="rIdtxixlavypeloasuefnqd0"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2026-09-24T19:30:39.760Z</dcterms:created>
  <dcterms:modified xsi:type="dcterms:W3CDTF">2026-09-24T19:30:39.760Z</dcterms:modified>
</cp:coreProperties>
</file>

<file path=docProps/custom.xml><?xml version="1.0" encoding="utf-8"?>
<Properties xmlns="http://schemas.openxmlformats.org/officeDocument/2006/custom-properties" xmlns:vt="http://schemas.openxmlformats.org/officeDocument/2006/docPropsVTypes"/>
</file>