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2025-П-14/59-1 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zlgjs16mkejnhpjfuu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-kicmdm8tr82ozm-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9sdtov2_t9azur6gog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и </w:t>
      </w:r>
      <w:hyperlink w:history="1" r:id="rIdqcw9axttkmhawuz-gje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платежной системе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5xeamtriczu1rxfv-n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 (прилагается):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15 (пятнадцати) дней со дня официального опубликования, за исключением пунктов 6-9 и 23-24 Положения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 (приложение к настоящему постановлению), которые вступают в силу с 1 марта 2026 года.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со дня получения соответствующих документов в течение 3 (трех) рабочих дней довести настоящее постановление до сведения операторов платежных систем и платежных организаций Кыргызской Республики, Объединения юридических лиц «Ассоциация операторов платежных систем KG (КЕЙ-ДЖИ)».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Отделу «Секретариат Правления» в течение 3 (трех) рабочих дней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 6.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 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2025-П-14/59-1-(ПС)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«О минимальных требованиях к системе противодействия внутреннему и внешнему мошенничествам (антифрод) в платежных организациях/операторах платежных систем Кыргызской Республики» (далее – Положение) применяется в качестве основного механизма противодействия внутреннему и внешнему мошенничеству в информационных системах платежных организаций и операторов платежных систем, в том числе в случае несоответствия имеющихся в информационных системах платежных организаций и операторов платежных систем алгоритмов противодействия внутреннему и внешнему мошенничествам требованиям настоящей главы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Требования настоящего Положения распространяются на платежные организации и операторов платежных систем, осуществляющих деятельность на основании лицензии Национального банка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Платежная организация/оператор платежной системы обязаны обеспечить наличие и эффективное функционирование системы противодействия внутреннему и внешнему мошенничествам (антифрод-системы), соответствующей масштабам, характеру и видам их деятельности, в соответствии с требованиями настоящей главы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Система противодействия внутреннему и внешнему мошенничествам (антифрод-система) должна быть направлена на защиту интересов пользователей услуг платежной организации и оператора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Политика и организационные меры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Платежная организация и оператор платежной системы обязаны разработать, утвердить исполнительным органом управления и/или советом директоров (при наличии) и внедрить Политику противодействия мошенничеству в системах удаленного/дистанционного обслуживания (далее – Политика). Политика может быть оформлена в виде отдельного документа или являться составной частью политики управления рисками платежной организации/оператора платежной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требования Политики как минимум должны отражать: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стремление руководства, подтверждающее приверженность защите клиентов/пользователей услуг от внутреннего и внешнего мошенничества в системах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принципы раннего выявления, предупреждения и предотвращения мошенничества в системах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применения адекватных и своевременных автоматизированных или полуавтоматизированных мер реагирования на выявленные случаи или попытки мошенничества, соразмерных оцененному уровню риска;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меры ответственностей в соответствии с законодательством Кыргызской Республики, применяемых к сотрудникам платежной организации/оператора платежной системы за бездействие или ненадлежащие действия в сфере противодействия мошенничеству, включая мониторинг угроз, разработку и внедрение мер противодействия, а также реагирование на инциденты.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подлежит пересмотру и актуализации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процедуры и документы платежной организации/оператора платежной системы, регламентирующие противодействие мошенничеству в системах удаленного/дистанционного обслуживания, подлежат пересмотру по мере необходимости, но не реже 1 (одного) раза в два года, с учетом эффективности применяемых мер, лучшего международного опыта и актуальных угроз.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обязана/н интегрировать вышеуказанные процедуры и документы в систему управления рисками и обеспечить ознакомление с ними всех необходимых сотрудников платежной организации/оператора платежной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Техническая реализация антифрод-контроля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Платежная организация/оператор платежной системы обязана/н внедрить систему противодействия мошенничеству в информационных системах удаленного/дистанционного обслуживания для предотвращения как внутреннего, так и внешнего мошенничеств. Эти системы должны осуществлять мониторинг и оценку риска мошенничества для каждой операции, проводимой через системы удаленного/дистанционного обслуживания. Реализация данных систем допускается двумя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виде отдельного, независимого программного и/или программно-аппаратного комплекса, взаимодействующего с используемыми автоматизированными системами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путем интеграции специализированного модуля противодействия мошенничеству непосредственно в каждую из используемых автоматизированных систем удаленного/дистанционного обслуживания.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Система противодействия внутреннему и внешнему мошенничествам в информационных системах удаленного/дистанционного обслуживания должна производить оценку риска мошенничества в отношении каждой совершаемой операции на основании правил, шаблонов и результатах анализа.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противодействия внутреннему и внешнему мошенничествам должна обеспечивать как минимум: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базовую проверку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сравнение с типичными поведенческими шаблонами клиента (при наличии соответствующих данных);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блокировку или приостановку подозрительных операций по заранее определенным критериям.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При использовании программного обеспечения для противодействия внутреннему и внешнему мошенничествам в информационных системах платежная организация/оператор платежной системы должна/н направить соответствующее уведомление с полным описанием реализованной архитектуры, принципов функционирования, применяемых методов оценки риска согласно требованиям настоящего Положения, в адрес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невозможности реализации полной автоматизации допускается ручной анализ ответственными сотрудниками.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Категоризация рисков и действия по инцидентам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Система противодействия мошенничеству в информационных системах удаленного/дистанционного обслуживания должна производить оценку риска мошенничества в отношении каждой совершаемой операции на основании правил, поведенческих моделей, шаблонов и результатов анализа. В результате оценки риска мошенничества система должна присваивать как минимум один из трёх уровней: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низкий риск: операция безопасна;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средний риск: операция подозрительна и может быть мошеннической;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высокий риск: операция является мошеннической.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Низкий уровень риска должен присваиваться операциям, которые соответствуют типичному поведению пользователя, имеют незначительные отклонения от него либо прошли успешную проверку после первоначального присвоения среднего уровня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При присвоении операции среднего уровня риска на основании существенного отклонения от стандартного поведения клиента или наличия совокупности факторов платежная организация/оператор платежной системы обязана/н обеспечить ее обязательную проверку. Проверка может быть выполнена автоматически или вручную уполномоченным сотрудником платежной организации/оператора платежной системы. По результатам проверки платежная организация/оператор платежной системы обязана/н выполнить одно или несколько из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переоценить уровень риска и присвоить операции новый уровень: низкий или высокий;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внести необходимые изменения в правила и шаблоны системы противодействия мошенничеству в удаленное/дистанционное обслуживание, дополнив их выявленными признаками мошеннических операций, выявленных при анализе операций с высоким уровнем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обеспечить хранение полной информации о проведенной проверке, включая результаты, полученные данные, сведения о сотрудниках, принимавших решения, и направленные клиенту уведомления в системе противодействия мошенничеству в дистанционное обслуживание. Указанная информация подлежит хранению не менее 5 (пяти) лет с момента проведения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Платежная организация/оператор платежной системы обязана/н в рамках противодействия внутреннему и внешнему мошенничествам в информационных системах удаленного/дистанционного обслуживания формировать и поддерживать реестр запрещенных к обслуживанию идентификаторов и атрибутов, используемых при совершении мошеннических операций, в случае присвоения операции высокого уровня риска мошенничества.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реестр должен включать как минимум номер телефона, ID QR-кода (уникальный QR для идентификации), сервисное имя (идентификатор) получателя или отправителя платежной/банковской системы, а также иные идентификаторы и атрибуты, связанные с мошеннической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реестр должен использоваться при последующей оценке риска с возможностью блокировки или дополнительной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Оценке риска мошенничества должны подвергаться все операции, проводимые через системы удаленного/дистанционного обслуживания и связанные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операциями по банковским счетам;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операциями посредством мобильных приложений, в том числе мобильных приложений агентов (далее – МПА);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операциями по электронным кошелькам;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операций с использованием QR-кодов/карт;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переводом денежных средств внутри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международными переводами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переводом средств на кошельки виртуальных активов и счета иностранных операторов торгов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снятием наличных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зачислением денежных средств через системы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иными высокорискованными операциями, а также определенными платежной организацией/оператором платежной системы в рамках своей политики по предотвращению мошенничества.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должна/н определить уполномоченных лиц/специализированные подразделения, ответственных за мониторинг операций в режиме реального времени, а также регулярно пересматривать перечень операций, подлежащих оценке риска, с учетом новых схем мошенничества и изменений в цифровой безопасности.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Базовые признаки мошеннических операций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Для целей оценки риска мошенничества при проведении операций платежная организация/оператор платежной системы обязана/н использовать критерии мошенничества, являющиеся основанием для признания операции подозрительной или мошеннической.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мошенничества представляют собой один или совокупность признаков и моделей поведения, свидетельствующих об отклонении от стандартной активности клиента и потенциальной попытке совершения мошеннической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Применяемые критерии мошенничества должны включать в том числе, но не ограничиваться следующими признаками: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аномальная частота операций: внезапное увеличение количества операций как инициированных клиентом, так и полученных 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групповая аномальная активность: внезапный рост активности группы клиентов, осуществляющих операции, подобные по сумме, получателю или типу;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аномальный размер (сумма) операции: операции на суммы, не соответствующие типичному поведению клиента, а также совершение платежей в непривычных для клиента категориях товаров/услуг;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аномальное географическое положение: необычное географическое положение (IP-адрес), регистрация с нового мобильного устройства, использование VPN или прокси-серверов;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аномальное время проведения операций: необычное время суток или день недели для совершения операций клиентом;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многократные неудачные попытки входа: повторные неудачные попытки авторизации в системе;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частая смена контактной информации: частая смена контактных данных, особенно перед крупными операциями;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совпадение с известными схемами мошенничества: соответствие операции признакам известных схем мошенничества;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частые возвраты или отмены операции: необычно большое количество возвратов или отмененных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использование подозрительных получателей: переводы средств на счета/мобильные приложения, включая МПА/электронные кошельки получателей, идентифицированных как подозрительные;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распределение средств на множество получателей: дробление операций и распределение средств на большое количество получателей;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аномальные источники пополнения средств: пополнение счета из источников, не характерных для данного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аномальные изменения в режиме доступа: изменения в режиме доступа, включение новых способов авторизации или изменение способа входа, несвойственные для данного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участие мобильных приложений, включая МПА/электронного кошелька клиента в дроблении или укрупнении денежных средств и с быстрым переводом на другие счета/мобильные приложения, МПА/электронные кошельки/карты клиента в другом банке/платежной организации;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пополнение банковских счетов/мобильных приложений, МПА/электронного кошелька/карт разными лицами с помощью разных инструментов с дальнейшим выводом со счета/мобильных приложений, МПА/электронного кошелька;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иные критерии, определенные платежной организацией/оператором платежной системы в рамках своей политики по предотвращению мошенничества.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Обязанность по приостановке операций и взаимодействию с клиентами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Платежная организация/оператор платежной системы вправе приостановить операции по </w:t>
      </w:r>
      <w:r>
        <w:rPr>
          <w:rFonts w:ascii="Arial" w:cs="Arial" w:eastAsia="Arial" w:hAnsi="Arial"/>
          <w:sz w:val="24"/>
          <w:szCs w:val="24"/>
        </w:rPr>
        <w:t xml:space="preserve">мобильным приложениям, </w:t>
      </w:r>
      <w:r>
        <w:rPr>
          <w:rFonts w:ascii="Arial" w:cs="Arial" w:eastAsia="Arial" w:hAnsi="Arial"/>
          <w:sz w:val="24"/>
          <w:szCs w:val="24"/>
        </w:rPr>
        <w:t xml:space="preserve">МПА, электронным кошелькам на срок до 30 дней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выявлении признаков, соответствующих критериям мошенничества, установленным в пункте 15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отсутствии от клиента подтверждающей информации, однозначно свидетельствующей о самостоятельном совершении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уведомлению клиента о мошеннических действиях по его </w:t>
      </w:r>
      <w:r>
        <w:rPr>
          <w:rFonts w:ascii="Arial" w:cs="Arial" w:eastAsia="Arial" w:hAnsi="Arial"/>
          <w:sz w:val="24"/>
          <w:szCs w:val="24"/>
        </w:rPr>
        <w:t xml:space="preserve">мобильным приложениям, </w:t>
      </w:r>
      <w:r>
        <w:rPr>
          <w:rFonts w:ascii="Arial" w:cs="Arial" w:eastAsia="Arial" w:hAnsi="Arial"/>
          <w:sz w:val="24"/>
          <w:szCs w:val="24"/>
        </w:rPr>
        <w:t xml:space="preserve">МПА, электронному кошельку.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Платежная организация/оператор платежной системы должна/н в системах дистанционного обслуживания предусмотреть возможность подачи физическими лицами уведомления о мошеннических действиях и формирование выписки по операции/операциям для последующего обращения в правоохранительные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возможность должна быть реализована в виде отдельной функции, обеспечивающей: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круглосуточную доступность;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наличие обособленного канала коммуникации, предназначенного исключительно для передачи уведомлений о мошеннических операциях;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простую, интуитивно понятную форму подачи уведомления (SMS-оповещение, электронная почта), с возможностью указания ключевых параметров операции: дата, сумма, реквизиты получателя, описание обстоятельств и наличия доказательств;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автоматическую фиксацию факта подачи уведомления в информационных системах платежной организации/оператора платежной системы с отметкой времени и идентификатора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инициацию процедуры приостановки и анализа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Уведомление, поданное через указанную функцию, подлежит незамедлительному рассмотрению и принятию соответствующих мер, по оценке операции, с последующим информированием клиента о принятых мерах, в том числе рекомендацией по обращению в правоохранительные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Платежная организация/оператор платежной системы обязана/н незамедлительно информировать клиента/задействованного участника платежной системы о приостановлении операции с использованием доступных каналов коммуникации (мобильное приложение, МПА, телефон, SMS-оповещение, электронная почта, иные).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Ведение списка идентификаторов и мониторинг повторов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Все операции в отношении запрещенных к обслуживанию идентификаторов должны отклоняться с соответствующим уведомлением клиента/задействованного участника платежной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должна/н иметь внутренние процедуры и документы, регламентирующие порядок внесения идентификаторов в реестр запрещенных к обслуживанию, а также порядок исключения записей из него в случае обнаружения ошибок или подтверждения самостоятельного проведения операции клиентом.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осуществления операций в отношении идентификаторов, обслуживание которых запрещено, а также в случае выявления фактов нарушения установленных требований в соответствии с нормативными правовыми актами Национального банка, платежная организация/оператор платежной системы обязана/н возместить клиенту ущерб, причиненный в результате такой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Реестр запрещённых к обслуживанию идентификаторов может дополняться вручную уполномоченными сотрудниками платежной организации/оператора платежной системы на основании достоверной информации о мошенническом характере того или иного клиентского идентификатора, полученной по линии государственных органов 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Реестр запрещенных к обслуживанию идентификаторов должен вестись защищенно, не допуская несанкционированного вмешательства сотрудников платежной организации/оператора платежной системы и третьих лиц, обеспечивая целостность записей.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реестру разрешается только уполномоченным сотрудникам платежной организации/оператора платежной системы с использованием многофакторной аутентификации.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Любые изменения в системе должны фиксироваться в журнале регистрации событий с указанием ответственного лица, времени внесения изменений и оснований для корректировки. Сведения из журнала регистрации событий должны храниться не менее 5 (пяти) лет.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Оценка эффективности антифрод-системы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Платежная организация/оператор платежной системы должна/н разрабатывать и внедрять системы мониторинга эффективности мер противодействия мошенничеству, включая следующие метрики: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доля заблокированных подозрительных операций, которые впоследствии были подтверждены как мошеннические;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доля ложноположительных срабатываний (ошибочно заблокированных транзакций) (False positive rate);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доля пропущенных мошеннических операций среди всех подтвержденных случаев (Recall);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среднее время выявления инцидента (Mean time to detect);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среднее время реагирования на инцидент (Mean time to respond);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выявленных и задокументированных способов мошенничества;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показатель клиентского опыта и точности работы системы (антифрод), включая скорость реагирования и процент разрешения конфликтных ситуаций в пользу клиента при ошибочной блокировке;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показатель качества ведения реестра запрещенных идентификаторов (актуальность, полнота, своевременность обновления).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эффективности подлежат документированию и предоставлению в Национальный банк согласно форме, установленной в приложении 1 к настоящему Положению, не реже 1 (одного) раза квартал до 25 числа месяца, следующего за отчетным кварталом.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Обязанности по тестированию и актуализации системы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Платежная организация/оператор платежной системы должна/н регулярно проводить стресс-тестирование систем противодействия внутреннему и внешнему мошенничеству для оценки эффективности, точности и устойчивость к новым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не реже одного раза в год, а также при внесении значительных изменений в систему.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являются следующие виды тестирования: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стресс-тестирование, заключающееся в моделировании массовых мошеннических атак для проверки устойчивости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безопасности на проникновение;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новых алгоритмов на основе актуальных способов мошенничества.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тестирования платежная организация/оператор платежной системы должна/н в течение 30 рабочих дней разработать и внедрить соответствующие корректирующие меры для устранения выявленных уязвимостей высокого уровня критичности, для иных случаев – 60 рабочих дней. Сроки могут быть продлены на основании технического заключения платежной организации/оператора платежной системы.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должна/н документировать результаты стресс-тестирования и ежегодно предоставлять их результаты в Национальный банк по результатам тестирования.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тестированию подлежит хранению не менее 5 (пяти)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2"/>
        <w:gridCol w:w="1008"/>
        <w:gridCol w:w="1008"/>
        <w:gridCol w:w="1008"/>
        <w:gridCol w:w="1008"/>
        <w:gridCol w:w="1628"/>
        <w:gridCol w:w="1628"/>
        <w:gridCol w:w="1628"/>
      </w:tblGrid>
      <w:tr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Положению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ОТЧЕТ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 оценке эффективности мер противодействия мошенничеству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системы: 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оператора платежной системы: 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Отчетный период: ___________________________________________________________</w:t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метрики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(доля, среднее время, количество и т.д.)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оценки эффективности</w:t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решения/ предложения по противодействию мошенничеству и минимизации рисков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комментарии/ предложения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заблокированных подозрительных операций, которые впоследствии были подтверждены как мошеннические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ложноположительных срабатываний (ошибочно заблокированных транзакций) (False positive rate)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пропущенных мошеннических операций среди всех подтвержденных случаев (Recall)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время выявления инцидента (Mean time to detect)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время реагирования на инцидент (Mean time to respond)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выявленных и задокументированных способов мошенничества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клиентского опыта и точности работы системы (антифрод), включая скорость реагирования и процент разрешения конфликтных ситуаций в пользу клиента при ошибочной блокировке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качества ведения реестра запрещенных идентификаторов (актуальность, полнота, своевременность обновления)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8muvmqkhs2ryw3cot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dalil.kg/document/230035835</w:t>
      </w:r>
    </w:hyperlink>
  </w:p>
  <w:p>
    <w:pPr>
      <w:spacing w:after="0" w:before="40"/>
      <w:jc w:val="center"/>
    </w:pPr>
    <w:hyperlink w:history="1" r:id="rIdhev1a7fyn2cv-7v2vfd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lgjs16mkejnhpjfuu-_" Type="http://schemas.openxmlformats.org/officeDocument/2006/relationships/hyperlink" Target="https://dalil.kg/document/112424" TargetMode="External"/><Relationship Id="rId3w-kicmdm8tr82ozm-zbr" Type="http://schemas.openxmlformats.org/officeDocument/2006/relationships/hyperlink" Target="https://dalil.kg/document/112424" TargetMode="External"/><Relationship Id="rIdo9sdtov2_t9azur6gog6f" Type="http://schemas.openxmlformats.org/officeDocument/2006/relationships/hyperlink" Target="https://dalil.kg/document/112424" TargetMode="External"/><Relationship Id="rIdqcw9axttkmhawuz-gje9n" Type="http://schemas.openxmlformats.org/officeDocument/2006/relationships/hyperlink" Target="https://dalil.kg/document/205425" TargetMode="External"/><Relationship Id="rId5xeamtriczu1rxfv-nhde" Type="http://schemas.openxmlformats.org/officeDocument/2006/relationships/hyperlink" Target="https://dalil.kg/document/230035835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8muvmqkhs2ryw3cotb0" Type="http://schemas.openxmlformats.org/officeDocument/2006/relationships/hyperlink" Target="https://dalil.kg/document/230035835" TargetMode="External"/><Relationship Id="rIdhev1a7fyn2cv-7v2vfd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2026-09-27T07:21:15.048Z</dcterms:created>
  <dcterms:modified xsi:type="dcterms:W3CDTF">2026-09-27T07:21:15.048Z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