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УКАЗ ПРЕЗИДЕНТА КЫРГЫЗСКОЙ РЕСПУБЛИКИ</w:t>
      </w:r>
    </w:p>
    <w:p>
      <w:pPr>
        <w:spacing w:after="24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29 декабря </w:t>
      </w:r>
      <w:r>
        <w:rPr>
          <w:rFonts w:ascii="Arial" w:cs="Arial" w:eastAsia="Arial" w:hAnsi="Arial"/>
          <w:sz w:val="24"/>
          <w:szCs w:val="24"/>
        </w:rPr>
        <w:t xml:space="preserve">202</w:t>
      </w:r>
      <w:r>
        <w:rPr>
          <w:rFonts w:ascii="Arial" w:cs="Arial" w:eastAsia="Arial" w:hAnsi="Arial"/>
          <w:sz w:val="24"/>
          <w:szCs w:val="24"/>
        </w:rPr>
        <w:t xml:space="preserve">5 </w:t>
      </w:r>
      <w:r>
        <w:rPr>
          <w:rFonts w:ascii="Arial" w:cs="Arial" w:eastAsia="Arial" w:hAnsi="Arial"/>
          <w:sz w:val="24"/>
          <w:szCs w:val="24"/>
        </w:rPr>
        <w:t xml:space="preserve">года УП № </w:t>
      </w:r>
      <w:r>
        <w:rPr>
          <w:rFonts w:ascii="Arial" w:cs="Arial" w:eastAsia="Arial" w:hAnsi="Arial"/>
          <w:sz w:val="24"/>
          <w:szCs w:val="24"/>
        </w:rPr>
        <w:t xml:space="preserve">3</w:t>
      </w:r>
      <w:r>
        <w:rPr>
          <w:rFonts w:ascii="Arial" w:cs="Arial" w:eastAsia="Arial" w:hAnsi="Arial"/>
          <w:sz w:val="24"/>
          <w:szCs w:val="24"/>
        </w:rPr>
        <w:t xml:space="preserve">8</w:t>
      </w:r>
      <w:r>
        <w:rPr>
          <w:rFonts w:ascii="Arial" w:cs="Arial" w:eastAsia="Arial" w:hAnsi="Arial"/>
          <w:sz w:val="24"/>
          <w:szCs w:val="24"/>
        </w:rPr>
        <w:t xml:space="preserve">5</w:t>
      </w:r>
    </w:p>
    <w:p>
      <w:pPr>
        <w:spacing w:after="240" w:before="200"/>
        <w:jc w:val="center"/>
      </w:pPr>
      <w:r>
        <w:rPr>
          <w:rFonts w:ascii="Arial" w:cs="Arial" w:eastAsia="Arial" w:hAnsi="Arial"/>
          <w:b/>
          <w:bCs/>
          <w:sz w:val="28"/>
          <w:szCs w:val="28"/>
        </w:rPr>
        <w:t xml:space="preserve">О внесении изменений в некоторые указы</w:t>
      </w:r>
    </w:p>
    <w:p>
      <w:pPr>
        <w:spacing w:after="240" w:before="200"/>
        <w:jc w:val="center"/>
      </w:pPr>
      <w:r>
        <w:rPr>
          <w:rFonts w:ascii="Arial" w:cs="Arial" w:eastAsia="Arial" w:hAnsi="Arial"/>
          <w:b/>
          <w:bCs/>
          <w:sz w:val="28"/>
          <w:szCs w:val="28"/>
        </w:rPr>
        <w:t xml:space="preserve">Президента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соответствии с пунктом 12 </w:t>
      </w:r>
      <w:hyperlink w:history="1" r:id="rIdxtsxts1a5eldytpuk-mp9">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Закона Кыргызской Республики «Об обороне и Вооруженных Силах Кыргызской Республики», </w:t>
      </w:r>
      <w:hyperlink w:history="1" r:id="rIde1coa0maplmnjtj6exuih">
        <w:r>
          <w:rPr>
            <w:rFonts w:ascii="Arial" w:cs="Arial" w:eastAsia="Arial" w:hAnsi="Arial"/>
            <w:color w:val="1D4ED8"/>
            <w:sz w:val="24"/>
            <w:szCs w:val="24"/>
            <w:u w:val="single"/>
          </w:rPr>
          <w:t xml:space="preserve">статьей 71</w:t>
        </w:r>
      </w:hyperlink>
      <w:r>
        <w:rPr>
          <w:rFonts w:ascii="Arial" w:cs="Arial" w:eastAsia="Arial" w:hAnsi="Arial"/>
          <w:sz w:val="24"/>
          <w:szCs w:val="24"/>
        </w:rPr>
        <w:t xml:space="preserve"> Конституции Кыргызской Республики </w:t>
      </w:r>
      <w:r>
        <w:rPr>
          <w:rFonts w:ascii="Arial" w:cs="Arial" w:eastAsia="Arial" w:hAnsi="Arial"/>
          <w:b/>
          <w:bCs/>
          <w:sz w:val="24"/>
          <w:szCs w:val="24"/>
        </w:rPr>
        <w:t xml:space="preserve">постановляю:</w:t>
      </w: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Внести в </w:t>
      </w:r>
      <w:hyperlink w:history="1" r:id="rId6wd4xzubd4ndiqy7gtmpj">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военной форме одежды и знаках различия военнослужащих Вооруженных Сил, других воинских формирований и государственных органов Кыргызской Республики, в которых законом предусмотрена военная служба» от 11 мая 2022 года № 148 следующие изменения: </w:t>
      </w:r>
    </w:p>
    <w:p>
      <w:pPr>
        <w:spacing w:after="120"/>
        <w:ind w:firstLine="397"/>
        <w:jc w:val="both"/>
      </w:pPr>
      <w:r>
        <w:rPr>
          <w:rFonts w:ascii="Arial" w:cs="Arial" w:eastAsia="Arial" w:hAnsi="Arial"/>
          <w:sz w:val="24"/>
          <w:szCs w:val="24"/>
        </w:rPr>
        <w:t xml:space="preserve">в </w:t>
      </w:r>
      <w:hyperlink w:history="1" r:id="rIdbrgrojw5tzoteorpqy3wu">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вышеназванному </w:t>
      </w:r>
      <w:hyperlink w:history="1" r:id="rId26xeoeqo6dwnjfhbixr2m">
        <w:r>
          <w:rPr>
            <w:rFonts w:ascii="Arial" w:cs="Arial" w:eastAsia="Arial" w:hAnsi="Arial"/>
            <w:color w:val="1D4ED8"/>
            <w:sz w:val="24"/>
            <w:szCs w:val="24"/>
            <w:u w:val="single"/>
          </w:rPr>
          <w:t xml:space="preserve">Указу</w:t>
        </w:r>
      </w:hyperlink>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пункт 7 дополнить подпунктом 5 следующего содержания: </w:t>
      </w:r>
    </w:p>
    <w:p>
      <w:pPr>
        <w:spacing w:after="120"/>
        <w:ind w:firstLine="397"/>
        <w:jc w:val="both"/>
      </w:pPr>
      <w:r>
        <w:rPr>
          <w:rFonts w:ascii="Arial" w:cs="Arial" w:eastAsia="Arial" w:hAnsi="Arial"/>
          <w:sz w:val="24"/>
          <w:szCs w:val="24"/>
        </w:rPr>
        <w:t xml:space="preserve">«5) ГКНБ – василькового цвета.»; </w:t>
      </w:r>
    </w:p>
    <w:p>
      <w:pPr>
        <w:spacing w:after="120"/>
        <w:ind w:firstLine="397"/>
        <w:jc w:val="both"/>
      </w:pPr>
      <w:r>
        <w:rPr>
          <w:rFonts w:ascii="Arial" w:cs="Arial" w:eastAsia="Arial" w:hAnsi="Arial"/>
          <w:sz w:val="24"/>
          <w:szCs w:val="24"/>
        </w:rPr>
        <w:t xml:space="preserve">– пункт 20 дополнить абзацами следующего содержания: </w:t>
      </w:r>
    </w:p>
    <w:p>
      <w:pPr>
        <w:spacing w:after="120"/>
        <w:ind w:firstLine="397"/>
        <w:jc w:val="both"/>
      </w:pPr>
      <w:r>
        <w:rPr>
          <w:rFonts w:ascii="Arial" w:cs="Arial" w:eastAsia="Arial" w:hAnsi="Arial"/>
          <w:sz w:val="24"/>
          <w:szCs w:val="24"/>
        </w:rPr>
        <w:t xml:space="preserve">«Для ГКНБ: куртка, утепленная из ткани камуфлированной расцветки. Полочки с кокеткой, с верхними потайными карманами с листочками на молнии, находящимися под наклоном 15 градусов к стороне застежки, воротник-стойка. С центральной внутренней бортовой застежкой-молнией, с утепляющей подкладкой и съемным капюшоном на молнии (несъемный капюшон). Спинка с кокеткой. В верхней части спинки, по линии горловины, притачан капюшон соединяющийся на молнию (притачанная). Низ рукавов с хлястиками, свободные концы которых закреплены на липучки. С внутренней стороны низ рукавов стягивается эластичными напульсниками.</w:t>
      </w:r>
    </w:p>
    <w:p>
      <w:pPr>
        <w:spacing w:after="120"/>
        <w:ind w:firstLine="397"/>
        <w:jc w:val="both"/>
      </w:pPr>
      <w:r>
        <w:rPr>
          <w:rFonts w:ascii="Arial" w:cs="Arial" w:eastAsia="Arial" w:hAnsi="Arial"/>
          <w:sz w:val="24"/>
          <w:szCs w:val="24"/>
        </w:rPr>
        <w:t xml:space="preserve">Для крепления погон в области плечевых швов втачаны хлястики, застегивающиеся на форменную пуговицу. Погоны съемные, полевые. Для высшего офицерского состава отложной воротник может выполняться из каракуля.»; </w:t>
      </w:r>
    </w:p>
    <w:p>
      <w:pPr>
        <w:spacing w:after="120"/>
        <w:ind w:firstLine="397"/>
        <w:jc w:val="both"/>
      </w:pPr>
      <w:r>
        <w:rPr>
          <w:rFonts w:ascii="Arial" w:cs="Arial" w:eastAsia="Arial" w:hAnsi="Arial"/>
          <w:sz w:val="24"/>
          <w:szCs w:val="24"/>
        </w:rPr>
        <w:t xml:space="preserve">– абзац шестой пункта 24 изложить в следующей редакции: </w:t>
      </w:r>
    </w:p>
    <w:p>
      <w:pPr>
        <w:spacing w:after="120"/>
        <w:ind w:firstLine="397"/>
        <w:jc w:val="both"/>
      </w:pPr>
      <w:r>
        <w:rPr>
          <w:rFonts w:ascii="Arial" w:cs="Arial" w:eastAsia="Arial" w:hAnsi="Arial"/>
          <w:sz w:val="24"/>
          <w:szCs w:val="24"/>
        </w:rPr>
        <w:t xml:space="preserve">«для ГКНБ (за исключением ПС ГКНБ): куртка полевая летняя из ткани камуфлированной расцветки, прямого силуэта с центральной потайной бортовой застежкой на пуговицах, с одной открытой пуговицей. Полочки с верхними накладными карманами с клапанами под наклоном 45 градусов к стороне застежки. Воротник-стойка (с возможностью носить в отложенном положении или стойкой) на липучке. Спинка цельнокроеная. Рукава с локтевыми усилительными накладками и накладными карманами с клапанами под наклоном 45 градусов. Низ рукавов с хлястиками, свободные концы которых закреплены на липучки. Для крепления погон в области плечевых швов на полочках – по две шлевки и по две петли. Погоны съемные, полевые; брюки полевые летние из ткани камуфлированной расцветки с притачным поясом, застегивающимся на пуговицы со шлевками. На передней половинке брюк расположены наклонные карманы от бокового шва к поясу. Ширинка застегивается на пуговицы. Штанины брюк в области колен с усилительными накладками. Низ брюк обработан швом в подгибку с закрытым срезом на резиновой утяжке (система шнурковой утяжки). Задние половинки брюк с кокеткой, с двумя прорезными карманами в области бедер, застегивающимися на липучки (пуговицы), в области сиденья – усилительные накладки. В боковых частях брюк большие накладные карманы со скрытой складкой (гармошка) для увеличения объема, закрываются клапаном на липучки (пуговицы);»; </w:t>
      </w:r>
    </w:p>
    <w:p>
      <w:pPr>
        <w:spacing w:after="120"/>
        <w:ind w:firstLine="397"/>
        <w:jc w:val="both"/>
      </w:pPr>
      <w:r>
        <w:rPr>
          <w:rFonts w:ascii="Arial" w:cs="Arial" w:eastAsia="Arial" w:hAnsi="Arial"/>
          <w:sz w:val="24"/>
          <w:szCs w:val="24"/>
        </w:rPr>
        <w:t xml:space="preserve">– абзац шестой пункта 45 изложить в следующей редакции: </w:t>
      </w:r>
    </w:p>
    <w:p>
      <w:pPr>
        <w:spacing w:after="120"/>
        <w:ind w:firstLine="397"/>
        <w:jc w:val="both"/>
      </w:pPr>
      <w:r>
        <w:rPr>
          <w:rFonts w:ascii="Arial" w:cs="Arial" w:eastAsia="Arial" w:hAnsi="Arial"/>
          <w:sz w:val="24"/>
          <w:szCs w:val="24"/>
        </w:rPr>
        <w:t xml:space="preserve">«для ГКНБ (за исключением ПС ГКНБ) фуражка из ткани оливкового цвета, с околышем василькового цвета, на тулье расположена эмблема в виде орла с расправленными крыльями, на груди орла расположен щит с изображением круглого солнечного диска с размещением внутри тюндюка, на правой лапе – меч, на левой – колос лавра, старшему офицерскому составу в звании полковника разрешается нашитая эмблема с изображением Государственного герба Кыргызской Республики;». </w:t>
      </w:r>
    </w:p>
    <w:p>
      <w:pPr>
        <w:spacing w:after="120"/>
        <w:ind w:firstLine="397"/>
        <w:jc w:val="both"/>
      </w:pPr>
      <w:r>
        <w:rPr>
          <w:rFonts w:ascii="Arial" w:cs="Arial" w:eastAsia="Arial" w:hAnsi="Arial"/>
          <w:sz w:val="24"/>
          <w:szCs w:val="24"/>
        </w:rPr>
        <w:t xml:space="preserve">2. Внести в </w:t>
      </w:r>
      <w:hyperlink w:history="1" r:id="rIdr-jtlke3qbumoalog84of">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утверждении Единых правил ношения военной формы одежды, знаков различия и снаряжения военнослужащими Вооруженных Сил, других воинских формирований и государственных органов Кыргызской Республики, в которых законом предусмотрена военная служба» от 28 декабря 2022 года № 413 следующие изменения: </w:t>
      </w:r>
    </w:p>
    <w:p>
      <w:pPr>
        <w:spacing w:after="120"/>
        <w:ind w:firstLine="397"/>
        <w:jc w:val="both"/>
      </w:pPr>
      <w:r>
        <w:rPr>
          <w:rFonts w:ascii="Arial" w:cs="Arial" w:eastAsia="Arial" w:hAnsi="Arial"/>
          <w:sz w:val="24"/>
          <w:szCs w:val="24"/>
        </w:rPr>
        <w:t xml:space="preserve">в </w:t>
      </w:r>
      <w:hyperlink w:history="1" r:id="rIdpczd_edeitl0tgciarbf7">
        <w:r>
          <w:rPr>
            <w:rFonts w:ascii="Arial" w:cs="Arial" w:eastAsia="Arial" w:hAnsi="Arial"/>
            <w:color w:val="1D4ED8"/>
            <w:sz w:val="24"/>
            <w:szCs w:val="24"/>
            <w:u w:val="single"/>
          </w:rPr>
          <w:t xml:space="preserve">приложении</w:t>
        </w:r>
      </w:hyperlink>
      <w:r>
        <w:rPr>
          <w:rFonts w:ascii="Arial" w:cs="Arial" w:eastAsia="Arial" w:hAnsi="Arial"/>
          <w:sz w:val="24"/>
          <w:szCs w:val="24"/>
        </w:rPr>
        <w:t xml:space="preserve"> к вышеназванному </w:t>
      </w:r>
      <w:hyperlink w:history="1" r:id="rIdoyxprvo9vblvtnlm-m2gs">
        <w:r>
          <w:rPr>
            <w:rFonts w:ascii="Arial" w:cs="Arial" w:eastAsia="Arial" w:hAnsi="Arial"/>
            <w:color w:val="1D4ED8"/>
            <w:sz w:val="24"/>
            <w:szCs w:val="24"/>
            <w:u w:val="single"/>
          </w:rPr>
          <w:t xml:space="preserve">Указу</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подпункт 1 пункта 5 дополнить примечанием следующего содержания: </w:t>
      </w:r>
    </w:p>
    <w:p>
      <w:pPr>
        <w:spacing w:after="120"/>
        <w:ind w:firstLine="397"/>
        <w:jc w:val="both"/>
      </w:pPr>
      <w:r>
        <w:rPr>
          <w:rFonts w:ascii="Arial" w:cs="Arial" w:eastAsia="Arial" w:hAnsi="Arial"/>
          <w:sz w:val="24"/>
          <w:szCs w:val="24"/>
        </w:rPr>
        <w:t xml:space="preserve">«Примечание: для Государственного комитета национальной безопасности (за исключением Пограничной службы) специальная форма вместо полевой формы одежды и специальная обувь вместо ботинок с высокими берцами по сезону.»; </w:t>
      </w:r>
    </w:p>
    <w:p>
      <w:pPr>
        <w:spacing w:after="120"/>
        <w:ind w:firstLine="397"/>
        <w:jc w:val="both"/>
      </w:pPr>
      <w:r>
        <w:rPr>
          <w:rFonts w:ascii="Arial" w:cs="Arial" w:eastAsia="Arial" w:hAnsi="Arial"/>
          <w:sz w:val="24"/>
          <w:szCs w:val="24"/>
        </w:rPr>
        <w:t xml:space="preserve">– дополнить пунктом 54</w:t>
      </w:r>
      <w:r>
        <w:rPr>
          <w:rFonts w:ascii="Arial" w:cs="Arial" w:eastAsia="Arial" w:hAnsi="Arial"/>
          <w:sz w:val="24"/>
          <w:szCs w:val="24"/>
        </w:rPr>
        <w:t xml:space="preserve">1</w:t>
      </w:r>
      <w:r>
        <w:rPr>
          <w:rFonts w:ascii="Arial" w:cs="Arial" w:eastAsia="Arial" w:hAnsi="Arial"/>
          <w:sz w:val="24"/>
          <w:szCs w:val="24"/>
        </w:rPr>
        <w:t xml:space="preserve"> следующего содержания: </w:t>
      </w:r>
    </w:p>
    <w:p>
      <w:pPr>
        <w:spacing w:after="120"/>
        <w:ind w:firstLine="397"/>
        <w:jc w:val="both"/>
      </w:pPr>
      <w:r>
        <w:rPr>
          <w:rFonts w:ascii="Arial" w:cs="Arial" w:eastAsia="Arial" w:hAnsi="Arial"/>
          <w:sz w:val="24"/>
          <w:szCs w:val="24"/>
        </w:rPr>
        <w:t xml:space="preserve">«54¹. Повседневная форма одежды курсантов Академии Государственного комитета национальной безопасности имени генерал-лейтенанта А.К. Бакаева: </w:t>
      </w:r>
    </w:p>
    <w:p>
      <w:pPr>
        <w:spacing w:after="120"/>
        <w:ind w:firstLine="397"/>
        <w:jc w:val="both"/>
      </w:pPr>
      <w:r>
        <w:rPr>
          <w:rFonts w:ascii="Arial" w:cs="Arial" w:eastAsia="Arial" w:hAnsi="Arial"/>
          <w:sz w:val="24"/>
          <w:szCs w:val="24"/>
        </w:rPr>
        <w:t xml:space="preserve">– летняя форма одежды – фуражка оливкового цвета, китель оливкового цвета, брюки на выпуск оливкового цвета, рубашка форменная оливкового цвета, галстук оливкового цвета с закрепкой золотистого цвета, полуботинки черного цвета; </w:t>
      </w:r>
    </w:p>
    <w:p>
      <w:pPr>
        <w:spacing w:after="120"/>
        <w:ind w:firstLine="397"/>
        <w:jc w:val="both"/>
      </w:pPr>
      <w:r>
        <w:rPr>
          <w:rFonts w:ascii="Arial" w:cs="Arial" w:eastAsia="Arial" w:hAnsi="Arial"/>
          <w:sz w:val="24"/>
          <w:szCs w:val="24"/>
        </w:rPr>
        <w:t xml:space="preserve">– зимняя форма одежды – шапка-ушанка из искусственного меха оливкового (серого) цвета, пальто зимнее из драпа оливкового цвета со съемным воротником из искусственного меха оливкового (серого) цвета, китель оливкового цвета, брюки на выпуск оливкового цвета, рубашка форменная оливкового цвета, галстук оливкового цвета с закрепкой золотистого цвета, кашне оливкового цвета, перчатки зимние черного цвета, ботинки черного цвета. </w:t>
      </w:r>
    </w:p>
    <w:p>
      <w:pPr>
        <w:spacing w:after="120"/>
        <w:ind w:firstLine="397"/>
        <w:jc w:val="both"/>
      </w:pPr>
      <w:r>
        <w:rPr>
          <w:rFonts w:ascii="Arial" w:cs="Arial" w:eastAsia="Arial" w:hAnsi="Arial"/>
          <w:sz w:val="24"/>
          <w:szCs w:val="24"/>
        </w:rPr>
        <w:t xml:space="preserve">Парадная форма одежды такая же, как повседневная, с рубашкой парадной белого цвета, ремнем поясным белого цвета, перчатками белыми и аксельбантом при летней форме одежды.». </w:t>
      </w:r>
    </w:p>
    <w:p>
      <w:pPr>
        <w:spacing w:after="120"/>
        <w:ind w:firstLine="397"/>
        <w:jc w:val="both"/>
      </w:pPr>
      <w:r>
        <w:rPr>
          <w:rFonts w:ascii="Arial" w:cs="Arial" w:eastAsia="Arial" w:hAnsi="Arial"/>
          <w:sz w:val="24"/>
          <w:szCs w:val="24"/>
        </w:rPr>
        <w:t xml:space="preserve">3. Установить, что реализация настоящего Указа осуществляется в пределах средств, предусмотренных для Государственного комитета национальной безопасности Кыргызской Республики в республиканском бюджете на соответствующий год и последующие годы. </w:t>
      </w:r>
    </w:p>
    <w:p>
      <w:pPr>
        <w:spacing w:after="120"/>
        <w:ind w:firstLine="397"/>
        <w:jc w:val="both"/>
      </w:pPr>
      <w:r>
        <w:rPr>
          <w:rFonts w:ascii="Arial" w:cs="Arial" w:eastAsia="Arial" w:hAnsi="Arial"/>
          <w:sz w:val="24"/>
          <w:szCs w:val="24"/>
        </w:rPr>
        <w:t xml:space="preserve">4. Настоящий Указ вступает в силу по истечении десяти дней со дня официального опубликования.</w:t>
      </w:r>
    </w:p>
    <w:p>
      <w:pPr>
        <w:spacing w:after="120"/>
        <w:ind w:firstLine="397"/>
        <w:jc w:val="both"/>
      </w:pPr>
      <w:r>
        <w:rPr>
          <w:rFonts w:ascii="Arial" w:cs="Arial" w:eastAsia="Arial" w:hAnsi="Arial"/>
          <w:i/>
          <w:iCs/>
          <w:sz w:val="24"/>
          <w:szCs w:val="24"/>
        </w:rPr>
        <w:t xml:space="preserve">Опубликован в официальной государственной газете «Эркин-Тоо» от 30 декабря 2025 года № 103 (3760)</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k8-vgeay47rizm1lggmn">
      <w:r>
        <w:rPr>
          <w:rFonts w:ascii="Arial" w:cs="Arial" w:eastAsia="Arial" w:hAnsi="Arial"/>
          <w:color w:val="132D3F"/>
          <w:sz w:val="16"/>
          <w:szCs w:val="16"/>
          <w:u w:val="single"/>
        </w:rPr>
        <w:t xml:space="preserve">dalil.kg/document/230037968</w:t>
      </w:r>
    </w:hyperlink>
  </w:p>
  <w:p>
    <w:pPr>
      <w:spacing w:after="0" w:before="40"/>
      <w:jc w:val="center"/>
    </w:pPr>
    <w:hyperlink w:history="1" r:id="rIdjhe7avzmivp4caydsg2a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tsxts1a5eldytpuk-mp9" Type="http://schemas.openxmlformats.org/officeDocument/2006/relationships/hyperlink" Target="https://dalil.kg/document/202668#st_11" TargetMode="External"/><Relationship Id="rIde1coa0maplmnjtj6exuih" Type="http://schemas.openxmlformats.org/officeDocument/2006/relationships/hyperlink" Target="https://dalil.kg/document/112213#st_71" TargetMode="External"/><Relationship Id="rId6wd4xzubd4ndiqy7gtmpj" Type="http://schemas.openxmlformats.org/officeDocument/2006/relationships/hyperlink" Target="https://dalil.kg/document/430944" TargetMode="External"/><Relationship Id="rIdbrgrojw5tzoteorpqy3wu" Type="http://schemas.openxmlformats.org/officeDocument/2006/relationships/hyperlink" Target="https://dalil.kg/document/430944#pr1" TargetMode="External"/><Relationship Id="rId26xeoeqo6dwnjfhbixr2m" Type="http://schemas.openxmlformats.org/officeDocument/2006/relationships/hyperlink" Target="https://dalil.kg/document/430944" TargetMode="External"/><Relationship Id="rIdr-jtlke3qbumoalog84of" Type="http://schemas.openxmlformats.org/officeDocument/2006/relationships/hyperlink" Target="https://dalil.kg/document/434877" TargetMode="External"/><Relationship Id="rIdpczd_edeitl0tgciarbf7" Type="http://schemas.openxmlformats.org/officeDocument/2006/relationships/hyperlink" Target="https://dalil.kg/document/434877#pr" TargetMode="External"/><Relationship Id="rIdoyxprvo9vblvtnlm-m2gs" Type="http://schemas.openxmlformats.org/officeDocument/2006/relationships/hyperlink" Target="https://dalil.kg/document/434877"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k8-vgeay47rizm1lggmn" Type="http://schemas.openxmlformats.org/officeDocument/2006/relationships/hyperlink" Target="https://dalil.kg/document/230037968" TargetMode="External"/><Relationship Id="rIdjhe7avzmivp4caydsg2a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2026-09-24T05:59:01.424Z</dcterms:created>
  <dcterms:modified xsi:type="dcterms:W3CDTF">2026-09-24T05:59:01.424Z</dcterms:modified>
</cp:coreProperties>
</file>

<file path=docProps/custom.xml><?xml version="1.0" encoding="utf-8"?>
<Properties xmlns="http://schemas.openxmlformats.org/officeDocument/2006/custom-properties" xmlns:vt="http://schemas.openxmlformats.org/officeDocument/2006/docPropsVTypes"/>
</file>