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№856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регистрации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</w:t>
      </w:r>
      <w:r>
        <w:rPr>
          <w:rFonts w:ascii="Arial" w:cs="Arial" w:eastAsia="Arial" w:hAnsi="Arial"/>
          <w:sz w:val="24"/>
          <w:szCs w:val="24"/>
        </w:rPr>
        <w:t xml:space="preserve">повышения</w:t>
      </w:r>
      <w:r>
        <w:rPr>
          <w:rFonts w:ascii="Arial" w:cs="Arial" w:eastAsia="Arial" w:hAnsi="Arial"/>
          <w:sz w:val="24"/>
          <w:szCs w:val="24"/>
        </w:rPr>
        <w:t xml:space="preserve"> доступности и удобства оказываемых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создания необходимых условий для дальнейшего совершенствования цифровой трансформации, направленной на создание максимально комфортных условий для граждан при взаимодействии с государственными органами</w:t>
      </w:r>
      <w:r>
        <w:rPr>
          <w:rFonts w:ascii="Arial" w:cs="Arial" w:eastAsia="Arial" w:hAnsi="Arial"/>
          <w:sz w:val="24"/>
          <w:szCs w:val="24"/>
        </w:rPr>
        <w:t xml:space="preserve"> в сфере документирования и регистрации населения,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uh-pfxlzcgr2jek6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дополнить подпунктом 17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и хранения сведений о нотариальной деятельности и обеспечения всех видов информационного взаимодействия (обмена)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документировании</w:t>
      </w:r>
      <w:r>
        <w:rPr>
          <w:rFonts w:ascii="Arial" w:cs="Arial" w:eastAsia="Arial" w:hAnsi="Arial"/>
          <w:sz w:val="24"/>
          <w:szCs w:val="24"/>
        </w:rPr>
        <w:t xml:space="preserve"> общегражданским паспортом</w:t>
      </w:r>
      <w:r>
        <w:rPr>
          <w:rFonts w:ascii="Arial" w:cs="Arial" w:eastAsia="Arial" w:hAnsi="Arial"/>
          <w:sz w:val="24"/>
          <w:szCs w:val="24"/>
        </w:rPr>
        <w:t xml:space="preserve">ребёнка, не достигшего 16-летнего возраста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наличие</w:t>
      </w:r>
      <w:r>
        <w:rPr>
          <w:rFonts w:ascii="Arial" w:cs="Arial" w:eastAsia="Arial" w:hAnsi="Arial"/>
          <w:sz w:val="24"/>
          <w:szCs w:val="24"/>
        </w:rPr>
        <w:t xml:space="preserve"> регистрационного </w:t>
      </w:r>
      <w:r>
        <w:rPr>
          <w:rFonts w:ascii="Arial" w:cs="Arial" w:eastAsia="Arial" w:hAnsi="Arial"/>
          <w:sz w:val="24"/>
          <w:szCs w:val="24"/>
        </w:rPr>
        <w:t xml:space="preserve">или консулького учета – не требуется.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20 изложить в следующий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«Тундук», либо общегражданский паспорт лица, достигшего 16-летнего возраста либо заключение о принадлежности заявителя к гражданству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в случае изменения национальности: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свидетельство о рождении с наличием различных национальностей родителей;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заключение территориального подразделения об изменении национальности. Порядок изменения национальности определяется уполномоченным органом в сфере регистрации населения.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паспорта родителей (опекуна/попечителя) или одного из родителей (в случае отсутствия второго) для определения гражданства заявителя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 либо общегражданский паспорт ребенка (при наличии)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отсутствии данных в ЕГРН либо заключение территориального подразделения о принадлежности лица, не достигшего 16-летнего возраста, к гражданству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после слов «</w:t>
      </w:r>
      <w:r>
        <w:rPr>
          <w:rFonts w:ascii="Arial" w:cs="Arial" w:eastAsia="Arial" w:hAnsi="Arial"/>
          <w:sz w:val="24"/>
          <w:szCs w:val="24"/>
        </w:rPr>
        <w:t xml:space="preserve">нотариально заверенное согласие» 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</w:t>
      </w:r>
      <w:r>
        <w:rPr>
          <w:rFonts w:ascii="Arial" w:cs="Arial" w:eastAsia="Arial" w:hAnsi="Arial"/>
          <w:sz w:val="24"/>
          <w:szCs w:val="24"/>
        </w:rPr>
        <w:t xml:space="preserve">подпункта 3</w:t>
      </w:r>
      <w:r>
        <w:rPr>
          <w:rFonts w:ascii="Arial" w:cs="Arial" w:eastAsia="Arial" w:hAnsi="Arial"/>
          <w:sz w:val="24"/>
          <w:szCs w:val="24"/>
        </w:rPr>
        <w:t xml:space="preserve"> после слов «нотариально заверенное согласие и доверенность» 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после слов «нотариально удостоверенной доверенности»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«(при отсутствии данных в ЕИСН)»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31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либо заключение о принадлежности заявителя к гражданству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случае, если заявитель не документирован ID-картой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45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документ, удостоверяющий полномочия законного представителя или нотариально заверенная доверенность (при отсутствии данных в ЕИСН)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подтверждающая полномочия законного представителя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46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«3) изъять паспорт, подлежащий обмену, привести 
 его в непригодное состояние в порядке, установленном настоящей Инструкцией, за исключением случаев выдачи</w:t>
      </w:r>
      <w:r>
        <w:rPr>
          <w:rFonts w:ascii="Arial" w:cs="Arial" w:eastAsia="Arial" w:hAnsi="Arial"/>
          <w:sz w:val="24"/>
          <w:szCs w:val="24"/>
        </w:rPr>
        <w:t xml:space="preserve">второго общегражданского паспорта. 
 </w:t>
      </w:r>
      <w:r>
        <w:rPr>
          <w:rFonts w:ascii="Arial" w:cs="Arial" w:eastAsia="Arial" w:hAnsi="Arial"/>
          <w:sz w:val="24"/>
          <w:szCs w:val="24"/>
        </w:rPr>
        <w:t xml:space="preserve">В случае если не представляется возможным изъять паспорт, подлежащий обмену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ввиду утраты заявителем паспорта, подлежащего изъятию, персонифицированная ID-карта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территориального подразделения или загранучреждения о выдаче персонифицированной ID-карты или общегражданского паспорта посредством АИС, </w:t>
      </w:r>
      <w:r>
        <w:rPr>
          <w:rFonts w:ascii="Arial" w:cs="Arial" w:eastAsia="Arial" w:hAnsi="Arial"/>
          <w:sz w:val="24"/>
          <w:szCs w:val="24"/>
        </w:rPr>
        <w:t xml:space="preserve">в котором</w:t>
      </w:r>
      <w:r>
        <w:rPr>
          <w:rFonts w:ascii="Arial" w:cs="Arial" w:eastAsia="Arial" w:hAnsi="Arial"/>
          <w:sz w:val="24"/>
          <w:szCs w:val="24"/>
        </w:rPr>
        <w:t xml:space="preserve"> излагает, когда и при каких обстоятельствах был утрачен паспорт, подлежащий изъятию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3ecejjajjfwngpkfjq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31 июля 2024 года № 435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дополнить подпунктом 14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и хранения сведений о нотариальной деятельности и обеспечения всех видов информационного взаимодействия (обмена).»;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после слов «нотариально удостоверенной доверенности»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24 после слов «удостоверенное нотариусом»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после слов «нотариальное согласие»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«(при отсутствии данных в ЕИСН)»;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допускается снятие с регистрационного учета по нотариально удостоверенной доверенности (</w:t>
      </w:r>
      <w:r>
        <w:rPr>
          <w:rFonts w:ascii="Arial" w:cs="Arial" w:eastAsia="Arial" w:hAnsi="Arial"/>
          <w:sz w:val="24"/>
          <w:szCs w:val="24"/>
        </w:rPr>
        <w:t xml:space="preserve">при отсутствии данных в ЕИСН</w:t>
      </w:r>
      <w:r>
        <w:rPr>
          <w:rFonts w:ascii="Arial" w:cs="Arial" w:eastAsia="Arial" w:hAnsi="Arial"/>
          <w:sz w:val="24"/>
          <w:szCs w:val="24"/>
        </w:rPr>
        <w:t xml:space="preserve">), при этом полномочия доверенного лица на подачу заявления и осуществление регистрационного учета должны быть специально оговорены в доверенности.».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делами Президента Кыргызской Республики и 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юстиции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2026 года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bm0bduq2snmcjkiyl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dalil.kg/document/230038288</w:t>
      </w:r>
    </w:hyperlink>
  </w:p>
  <w:p>
    <w:pPr>
      <w:spacing w:after="0" w:before="40"/>
      <w:jc w:val="center"/>
    </w:pPr>
    <w:hyperlink w:history="1" r:id="rIdyle3youuffyqebcpjyh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uh-pfxlzcgr2jek6lhi" Type="http://schemas.openxmlformats.org/officeDocument/2006/relationships/hyperlink" Target="https://dalil.kg/document/230005083" TargetMode="External"/><Relationship Id="rId3ecejjajjfwngpkfjqaxs" Type="http://schemas.openxmlformats.org/officeDocument/2006/relationships/hyperlink" Target="https://dalil.kg/document/230013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m0bduq2snmcjkiylqx" Type="http://schemas.openxmlformats.org/officeDocument/2006/relationships/hyperlink" Target="https://dalil.kg/document/230038288" TargetMode="External"/><Relationship Id="rIdyle3youuffyqebcpjyh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2026-09-24T01:18:17.663Z</dcterms:created>
  <dcterms:modified xsi:type="dcterms:W3CDTF">2026-09-24T01:18:17.663Z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