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Правил безопасной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эксплуатации аттракционов» от 12 апреля 2024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законодательства Кыргызской Республики, в соответствии со статьями </w:t>
      </w:r>
      <w:hyperlink w:history="1" r:id="rIdnr0jfgodowys81onf9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tcfzcozkzbasov172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ilnt3lm_hmgvgkesr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suq8hjd-25ruufxvjt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безопасной эксплуатации аттракционов» от 12 апреля 2024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ucjdnstasyxm35hpp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безопасной эксплуатации аттракционов, утвержденных вышеуказанным </w:t>
      </w:r>
      <w:hyperlink w:history="1" r:id="rIdjdy2t1yy_vt-0eyyjc_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абзаце первом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слова «Законом Кыргызской Республики «О промышленной безопасности опасных производственных объектов»,»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42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подпункт «и» </w:t>
      </w:r>
      <w:r>
        <w:rPr>
          <w:rFonts w:ascii="Arial" w:cs="Arial" w:eastAsia="Arial" w:hAnsi="Arial"/>
          <w:sz w:val="24"/>
          <w:szCs w:val="24"/>
        </w:rPr>
        <w:t xml:space="preserve">пункта 81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пунктах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247</w:t>
      </w:r>
      <w:r>
        <w:rPr>
          <w:rFonts w:ascii="Arial" w:cs="Arial" w:eastAsia="Arial" w:hAnsi="Arial"/>
          <w:sz w:val="24"/>
          <w:szCs w:val="24"/>
        </w:rPr>
        <w:t xml:space="preserve"> слово «производственного»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245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«245. Ежегодная проверка технического состояния аттракциона проводится лицом, назначенным приказом владельца (эксплуатанта) аттракциона ответственным за осуществление контроля состояния аттракциона, перед предъявлением аттракциона для технического освидетельствования,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пунктом 237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пункте 285</w:t>
      </w:r>
      <w:r>
        <w:rPr>
          <w:rFonts w:ascii="Arial" w:cs="Arial" w:eastAsia="Arial" w:hAnsi="Arial"/>
          <w:sz w:val="24"/>
          <w:szCs w:val="24"/>
        </w:rPr>
        <w:t xml:space="preserve"> слово «производственный»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trgrh8cfjikfesoeg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dalil.kg/document/230038454</w:t>
      </w:r>
    </w:hyperlink>
  </w:p>
  <w:p>
    <w:pPr>
      <w:spacing w:after="0" w:before="40"/>
      <w:jc w:val="center"/>
    </w:pPr>
    <w:hyperlink w:history="1" r:id="rIdfthabywi1jq6vutcnpe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0jfgodowys81onf9say" Type="http://schemas.openxmlformats.org/officeDocument/2006/relationships/hyperlink" Target="https://dalil.kg/document/112301#st_13" TargetMode="External"/><Relationship Id="rIduztcfzcozkzbasov1725y" Type="http://schemas.openxmlformats.org/officeDocument/2006/relationships/hyperlink" Target="https://dalil.kg/document/112301#st_17" TargetMode="External"/><Relationship Id="rIdkilnt3lm_hmgvgkesr7dy" Type="http://schemas.openxmlformats.org/officeDocument/2006/relationships/hyperlink" Target="https://dalil.kg/document/230005243" TargetMode="External"/><Relationship Id="rIdzsuq8hjd-25ruufxvjt4k" Type="http://schemas.openxmlformats.org/officeDocument/2006/relationships/hyperlink" Target="https://dalil.kg/document/230005251" TargetMode="External"/><Relationship Id="rIdiucjdnstasyxm35hpppuj" Type="http://schemas.openxmlformats.org/officeDocument/2006/relationships/hyperlink" Target="https://dalil.kg/document/230005251" TargetMode="External"/><Relationship Id="rIdjdy2t1yy_vt-0eyyjc_8s" Type="http://schemas.openxmlformats.org/officeDocument/2006/relationships/hyperlink" Target="https://dalil.kg/document/2300052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trgrh8cfjikfesoegpl" Type="http://schemas.openxmlformats.org/officeDocument/2006/relationships/hyperlink" Target="https://dalil.kg/document/230038454" TargetMode="External"/><Relationship Id="rIdfthabywi1jq6vutcnpe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2026-09-25T17:14:07.250Z</dcterms:created>
  <dcterms:modified xsi:type="dcterms:W3CDTF">2026-09-25T17:14:07.250Z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