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декабря 2025 года № 1120-т</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ys7joexfe728ffwjvxemb">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Закона Кыргызской Республики "О Регламенте Жогорку Кенеша Кыргызской Республики", статьями </w:t>
      </w:r>
      <w:hyperlink w:history="1" r:id="rIdghbkrlp5xif8anrro6v1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f7xzj4npwkpuf4s4hrm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прилагаемое </w:t>
      </w:r>
      <w:hyperlink w:history="1" r:id="rIdrinlrtb_qrclwfcmb5oj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Протоколу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 года, подписанному 28 июля 2025 года в городе Москве.</w:t>
      </w:r>
    </w:p>
    <w:p>
      <w:pPr>
        <w:spacing w:after="120"/>
        <w:ind w:firstLine="567"/>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Одобрено</w:t>
      </w:r>
      <w:r>
        <w:rPr>
          <w:rFonts w:ascii="Arial" w:cs="Arial" w:eastAsia="Arial" w:hAnsi="Arial"/>
          <w:i/>
          <w:iCs/>
          <w:sz w:val="24"/>
          <w:szCs w:val="24"/>
        </w:rPr>
        <w:t xml:space="preserve">
 распоряжением Кабинета Министров Кыргызской Республики
 от 19 декабря 2025 года № 1120-т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ЗАКЛЮЧЕНИЕ
 Кабинета Министров Кыргызской Республики к Протоколу о внесении изменений в Договор о Евразийском экономическом союзе от 29 мая 2014 года, подписанному 28 июля 2025 года в городе Москве</w:t>
      </w:r>
    </w:p>
    <w:p>
      <w:pPr>
        <w:spacing w:after="120"/>
        <w:ind w:firstLine="567"/>
        <w:jc w:val="both"/>
      </w:pPr>
      <w:r>
        <w:rPr>
          <w:rFonts w:ascii="Arial" w:cs="Arial" w:eastAsia="Arial" w:hAnsi="Arial"/>
          <w:sz w:val="24"/>
          <w:szCs w:val="24"/>
        </w:rPr>
        <w:t xml:space="preserve">Протокол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Евразийском экономическом союзе от 29 мая 2014 года ("IV Большой" Протокол), разработан по итогам работы сводной рабочей группы по совершенствованию положений </w:t>
      </w:r>
      <w:r>
        <w:rPr>
          <w:rFonts w:ascii="Arial" w:cs="Arial" w:eastAsia="Arial" w:hAnsi="Arial"/>
          <w:sz w:val="24"/>
          <w:szCs w:val="24"/>
        </w:rPr>
        <w:t xml:space="preserve">Договора</w:t>
      </w:r>
      <w:r>
        <w:rPr>
          <w:rFonts w:ascii="Arial" w:cs="Arial" w:eastAsia="Arial" w:hAnsi="Arial"/>
          <w:sz w:val="24"/>
          <w:szCs w:val="24"/>
        </w:rPr>
        <w:t xml:space="preserve"> о Евразийском экономическом союзе от 29 мая 2014 года (далее - Договор о ЕАЭС) в 2022-2024 годах и содержит 33 поправки.</w:t>
      </w:r>
    </w:p>
    <w:p>
      <w:pPr>
        <w:spacing w:after="120"/>
        <w:ind w:firstLine="567"/>
        <w:jc w:val="both"/>
      </w:pPr>
      <w:r>
        <w:rPr>
          <w:rFonts w:ascii="Arial" w:cs="Arial" w:eastAsia="Arial" w:hAnsi="Arial"/>
          <w:sz w:val="24"/>
          <w:szCs w:val="24"/>
        </w:rPr>
        <w:t xml:space="preserve">Поправки, включенные в Протокол, направлены на:</w:t>
      </w:r>
    </w:p>
    <w:p>
      <w:pPr>
        <w:spacing w:after="120"/>
        <w:ind w:firstLine="567"/>
        <w:jc w:val="both"/>
      </w:pPr>
      <w:r>
        <w:rPr>
          <w:rFonts w:ascii="Arial" w:cs="Arial" w:eastAsia="Arial" w:hAnsi="Arial"/>
          <w:sz w:val="24"/>
          <w:szCs w:val="24"/>
        </w:rPr>
        <w:t xml:space="preserve">- устранение выявленных в ходе правоприменительной практики пробелов в правовом регулировании;</w:t>
      </w:r>
    </w:p>
    <w:p>
      <w:pPr>
        <w:spacing w:after="120"/>
        <w:ind w:firstLine="567"/>
        <w:jc w:val="both"/>
      </w:pPr>
      <w:r>
        <w:rPr>
          <w:rFonts w:ascii="Arial" w:cs="Arial" w:eastAsia="Arial" w:hAnsi="Arial"/>
          <w:sz w:val="24"/>
          <w:szCs w:val="24"/>
        </w:rPr>
        <w:t xml:space="preserve">- уточнение определений, используемых в </w:t>
      </w:r>
      <w:r>
        <w:rPr>
          <w:rFonts w:ascii="Arial" w:cs="Arial" w:eastAsia="Arial" w:hAnsi="Arial"/>
          <w:sz w:val="24"/>
          <w:szCs w:val="24"/>
        </w:rPr>
        <w:t xml:space="preserve">Договоре</w:t>
      </w:r>
      <w:r>
        <w:rPr>
          <w:rFonts w:ascii="Arial" w:cs="Arial" w:eastAsia="Arial" w:hAnsi="Arial"/>
          <w:sz w:val="24"/>
          <w:szCs w:val="24"/>
        </w:rPr>
        <w:t xml:space="preserve"> о ЕАЭС;</w:t>
      </w:r>
    </w:p>
    <w:p>
      <w:pPr>
        <w:spacing w:after="120"/>
        <w:ind w:firstLine="567"/>
        <w:jc w:val="both"/>
      </w:pPr>
      <w:r>
        <w:rPr>
          <w:rFonts w:ascii="Arial" w:cs="Arial" w:eastAsia="Arial" w:hAnsi="Arial"/>
          <w:sz w:val="24"/>
          <w:szCs w:val="24"/>
        </w:rPr>
        <w:t xml:space="preserve">- наделение Евразийской экономической комиссии (далее - ЕЭК) полномочием в части утверждения методологии квалификации препятствий на внутреннем рынке Евразийского экономического союза (далее - ЕАЭС) и признании барьеров и ограничений устраненными.</w:t>
      </w:r>
    </w:p>
    <w:p>
      <w:pPr>
        <w:spacing w:after="120"/>
        <w:ind w:firstLine="567"/>
        <w:jc w:val="both"/>
      </w:pPr>
      <w:r>
        <w:rPr>
          <w:rFonts w:ascii="Arial" w:cs="Arial" w:eastAsia="Arial" w:hAnsi="Arial"/>
          <w:sz w:val="24"/>
          <w:szCs w:val="24"/>
        </w:rPr>
        <w:t xml:space="preserve">В "IV Большой" Протокол включены поправки:</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приложении № 5</w:t>
      </w:r>
      <w:r>
        <w:rPr>
          <w:rFonts w:ascii="Arial" w:cs="Arial" w:eastAsia="Arial" w:hAnsi="Arial"/>
          <w:sz w:val="24"/>
          <w:szCs w:val="24"/>
        </w:rPr>
        <w:t xml:space="preserve"> к Договору о ЕАЭС:</w:t>
      </w:r>
    </w:p>
    <w:p>
      <w:pPr>
        <w:spacing w:after="120"/>
        <w:ind w:firstLine="567"/>
        <w:jc w:val="both"/>
      </w:pPr>
      <w:r>
        <w:rPr>
          <w:rFonts w:ascii="Arial" w:cs="Arial" w:eastAsia="Arial" w:hAnsi="Arial"/>
          <w:sz w:val="24"/>
          <w:szCs w:val="24"/>
        </w:rPr>
        <w:t xml:space="preserve">уточнение цели использования ЕЭК информации, содержащейся в пункте 41;</w:t>
      </w:r>
    </w:p>
    <w:p>
      <w:pPr>
        <w:spacing w:after="120"/>
        <w:ind w:firstLine="567"/>
        <w:jc w:val="both"/>
      </w:pPr>
      <w:r>
        <w:rPr>
          <w:rFonts w:ascii="Arial" w:cs="Arial" w:eastAsia="Arial" w:hAnsi="Arial"/>
          <w:sz w:val="24"/>
          <w:szCs w:val="24"/>
        </w:rPr>
        <w:t xml:space="preserve">признание утратившим силу раздела V, предусматривающего порядок обмена информацией, связанной с уплатой ввозных таможенных пошлин (в настоящее время обмен, осуществляемый ЦТО в соответствии с пунктом 45 </w:t>
      </w:r>
      <w:r>
        <w:rPr>
          <w:rFonts w:ascii="Arial" w:cs="Arial" w:eastAsia="Arial" w:hAnsi="Arial"/>
          <w:sz w:val="24"/>
          <w:szCs w:val="24"/>
        </w:rPr>
        <w:t xml:space="preserve">приложения № 5</w:t>
      </w:r>
      <w:r>
        <w:rPr>
          <w:rFonts w:ascii="Arial" w:cs="Arial" w:eastAsia="Arial" w:hAnsi="Arial"/>
          <w:sz w:val="24"/>
          <w:szCs w:val="24"/>
        </w:rPr>
        <w:t xml:space="preserve"> к Договору о ЕАЭС, фактически дублирует информацию, обмен которой уже осуществляется в соответствии со </w:t>
      </w:r>
      <w:r>
        <w:rPr>
          <w:rFonts w:ascii="Arial" w:cs="Arial" w:eastAsia="Arial" w:hAnsi="Arial"/>
          <w:sz w:val="24"/>
          <w:szCs w:val="24"/>
        </w:rPr>
        <w:t xml:space="preserve">статьей 370</w:t>
      </w:r>
      <w:r>
        <w:rPr>
          <w:rFonts w:ascii="Arial" w:cs="Arial" w:eastAsia="Arial" w:hAnsi="Arial"/>
          <w:sz w:val="24"/>
          <w:szCs w:val="24"/>
        </w:rPr>
        <w:t xml:space="preserve"> Таможенного кодекса ЕАЭС);</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приложении № 9</w:t>
      </w:r>
      <w:r>
        <w:rPr>
          <w:rFonts w:ascii="Arial" w:cs="Arial" w:eastAsia="Arial" w:hAnsi="Arial"/>
          <w:sz w:val="24"/>
          <w:szCs w:val="24"/>
        </w:rPr>
        <w:t xml:space="preserve"> - в части наделения Совета ЕЭК полномочием по принятию решения об обеспечении единообразного подхода к разъяснению вопросов применения технических регламентов ЕАЭС (поправка не терпит отлагательства, так как согласно пункту 4.1.5 Плана мероприятий по реализации Стратегических направлений развития евразийской экономической интеграции до 2025 года, утвержденного решением Высшего Евразийского экономического совета от 11 декабря 2020 года, срок принятия этого решения - до 31 декабря 2024 года);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приложении № 10</w:t>
      </w:r>
      <w:r>
        <w:rPr>
          <w:rFonts w:ascii="Arial" w:cs="Arial" w:eastAsia="Arial" w:hAnsi="Arial"/>
          <w:sz w:val="24"/>
          <w:szCs w:val="24"/>
        </w:rPr>
        <w:t xml:space="preserve"> в части уточнения терминологии (новое определение понятия "стандартный образец");</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приложении № 16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 замене в формуле расчета процентов при задержке компенсации в случае экспроприации инвестиций ставки национального межбанковского рынка по фактически предоставленным кредитам в долларах США сроком до 6 месяцев (в большинстве государств-членов ЕАЭС отсутствуют расчеты данной ставки) на коммерческую ставку, устанавливаемую на рыночной основе (используется всеми государствами-членами ЕАЭС в рамках соглашений о поощрении и защите иностранных инвестиций);</w:t>
      </w:r>
    </w:p>
    <w:p>
      <w:pPr>
        <w:spacing w:after="120"/>
        <w:ind w:firstLine="567"/>
        <w:jc w:val="both"/>
      </w:pPr>
      <w:r>
        <w:rPr>
          <w:rFonts w:ascii="Arial" w:cs="Arial" w:eastAsia="Arial" w:hAnsi="Arial"/>
          <w:sz w:val="24"/>
          <w:szCs w:val="24"/>
        </w:rPr>
        <w:t xml:space="preserve">- по уточнению наименования индикативной ставки, связана с тем, что в конце 2021 года индикатор LIBOR был отменен, в связи с чем поддержка и гарантирование репрезентативности этого индикатора прекращены. Экспертами национальных (центральных) банков государств-членов ЕАЭС согласована замена ставки LIBOR на ставку Secured Overnight Financing Rate (SOFR) в долларах США, администрируемую Федеральным резервным банком Нью-Йорка (США);</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приложении № 19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конкретизация в соответствии с порядком, установленным законодательством какого государства-члена ЕАЭС, будет осуществляться принудительное исполнение решений ЕЭК о наложении штрафа, решений ЕЭК, обязывающих нарушителя совершать определенные действия;</w:t>
      </w:r>
    </w:p>
    <w:p>
      <w:pPr>
        <w:spacing w:after="120"/>
        <w:ind w:firstLine="567"/>
        <w:jc w:val="both"/>
      </w:pPr>
      <w:r>
        <w:rPr>
          <w:rFonts w:ascii="Arial" w:cs="Arial" w:eastAsia="Arial" w:hAnsi="Arial"/>
          <w:sz w:val="24"/>
          <w:szCs w:val="24"/>
        </w:rPr>
        <w:t xml:space="preserve">- уточнение в бюджет какого государства-члена ЕАЭС будут перечисляться штрафы за невыполнение решений ЕЭК, обязывающих нарушителя совершать определенные действия (данная поправка не терпит отлагательства, она связана с содержащейся во "II Большом" Протоколе (вступил в силу 12 февраля 2024 года) поправкой, вводящей эти штрафы);</w:t>
      </w:r>
    </w:p>
    <w:p>
      <w:pPr>
        <w:spacing w:after="120"/>
        <w:ind w:firstLine="567"/>
        <w:jc w:val="both"/>
      </w:pPr>
      <w:r>
        <w:rPr>
          <w:rFonts w:ascii="Arial" w:cs="Arial" w:eastAsia="Arial" w:hAnsi="Arial"/>
          <w:sz w:val="24"/>
          <w:szCs w:val="24"/>
        </w:rPr>
        <w:t xml:space="preserve">- установление неприменения пунктов 81-83 приложения № 19 к случаям государственного ценового регулирования продукции, поставляемой для государственных нужд в целях обеспечения обороны и безопасности государства, в области военно-технического сотрудничества с иностранными государствами в соответствии с международными обязательствами государств-членов ЕАЭС и законодательством государств-членов ЕАЭС;</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приложении № 21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уточнение терминологии "договор о присоединении" в соответствии с решениями, принятыми при разработке проектов правил функционирования общего электроэнергетического рынка ЕАЭС;</w:t>
      </w:r>
    </w:p>
    <w:p>
      <w:pPr>
        <w:spacing w:after="120"/>
        <w:ind w:firstLine="567"/>
        <w:jc w:val="both"/>
      </w:pPr>
      <w:r>
        <w:rPr>
          <w:rFonts w:ascii="Arial" w:cs="Arial" w:eastAsia="Arial" w:hAnsi="Arial"/>
          <w:sz w:val="24"/>
          <w:szCs w:val="24"/>
        </w:rPr>
        <w:t xml:space="preserve">включение в состав инфраструктурных организаций общего электроэнергетического рынка ЕАЭС регистраторов, а также определение их прав и обязанностей (функции и полномочия);</w:t>
      </w:r>
    </w:p>
    <w:p>
      <w:pPr>
        <w:spacing w:after="120"/>
        <w:ind w:firstLine="567"/>
        <w:jc w:val="both"/>
      </w:pPr>
      <w:r>
        <w:rPr>
          <w:rFonts w:ascii="Arial" w:cs="Arial" w:eastAsia="Arial" w:hAnsi="Arial"/>
          <w:sz w:val="24"/>
          <w:szCs w:val="24"/>
        </w:rPr>
        <w:t xml:space="preserve">дополнение определяемых правилами функционирования общего электроэнергетического рынка функции и полномочий (права и обязанности Совета руководителей уполномоченных органов государств-членов в сфере энергетики) (поправки в </w:t>
      </w:r>
      <w:r>
        <w:rPr>
          <w:rFonts w:ascii="Arial" w:cs="Arial" w:eastAsia="Arial" w:hAnsi="Arial"/>
          <w:sz w:val="24"/>
          <w:szCs w:val="24"/>
        </w:rPr>
        <w:t xml:space="preserve">приложение № 21</w:t>
      </w:r>
      <w:r>
        <w:rPr>
          <w:rFonts w:ascii="Arial" w:cs="Arial" w:eastAsia="Arial" w:hAnsi="Arial"/>
          <w:sz w:val="24"/>
          <w:szCs w:val="24"/>
        </w:rPr>
        <w:t xml:space="preserve"> не терпят отлагательства, так согласно распоряжению Совета ЕЭК от 4 июля 2023 года № 21 они должны быть представлены главам государств-членов для подписания в срок до 1 июня 2024 года и их вступление в силу позволит вступить в силу решению Высшего Евразийского экономического совета от 25 декабря 2023 года № 19, содержащему изменения в Положение о Совете руководителей в части контроля за действиями регистратора на общем электроэнергетическом рынке ЕАЭС);</w:t>
      </w:r>
    </w:p>
    <w:p>
      <w:pPr>
        <w:spacing w:after="120"/>
        <w:ind w:firstLine="567"/>
        <w:jc w:val="both"/>
      </w:pPr>
      <w:r>
        <w:rPr>
          <w:rFonts w:ascii="Arial" w:cs="Arial" w:eastAsia="Arial" w:hAnsi="Arial"/>
          <w:sz w:val="24"/>
          <w:szCs w:val="24"/>
        </w:rPr>
        <w:t xml:space="preserve">7) в Порядке осуществления транспортного (автомобильного) контроля на внешней границе ЕАЭС предусматривается возможность применения электронных разрешений при осуществлении международных автомобильных перевозок;</w:t>
      </w:r>
    </w:p>
    <w:p>
      <w:pPr>
        <w:spacing w:after="120"/>
        <w:ind w:firstLine="567"/>
        <w:jc w:val="both"/>
      </w:pPr>
      <w:r>
        <w:rPr>
          <w:rFonts w:ascii="Arial" w:cs="Arial" w:eastAsia="Arial" w:hAnsi="Arial"/>
          <w:sz w:val="24"/>
          <w:szCs w:val="24"/>
        </w:rPr>
        <w:t xml:space="preserve">8) в части государственных закупок:</w:t>
      </w:r>
    </w:p>
    <w:p>
      <w:pPr>
        <w:spacing w:after="120"/>
        <w:ind w:firstLine="567"/>
        <w:jc w:val="both"/>
      </w:pPr>
      <w:r>
        <w:rPr>
          <w:rFonts w:ascii="Arial" w:cs="Arial" w:eastAsia="Arial" w:hAnsi="Arial"/>
          <w:sz w:val="24"/>
          <w:szCs w:val="24"/>
        </w:rPr>
        <w:t xml:space="preserve">уточнение терминологии (корректировка понятия "веб-портал", исключение понятия "информация о закупках");</w:t>
      </w:r>
    </w:p>
    <w:p>
      <w:pPr>
        <w:spacing w:after="120"/>
        <w:ind w:firstLine="567"/>
        <w:jc w:val="both"/>
      </w:pPr>
      <w:r>
        <w:rPr>
          <w:rFonts w:ascii="Arial" w:cs="Arial" w:eastAsia="Arial" w:hAnsi="Arial"/>
          <w:sz w:val="24"/>
          <w:szCs w:val="24"/>
        </w:rPr>
        <w:t xml:space="preserve">уточнение, что государства-члены ЕАЭС взаимно признают банковские гарантии для целей государственных закупок в соответствии с международным договором в рамках ЕАЭС;</w:t>
      </w:r>
    </w:p>
    <w:p>
      <w:pPr>
        <w:spacing w:after="120"/>
        <w:ind w:firstLine="567"/>
        <w:jc w:val="both"/>
      </w:pPr>
      <w:r>
        <w:rPr>
          <w:rFonts w:ascii="Arial" w:cs="Arial" w:eastAsia="Arial" w:hAnsi="Arial"/>
          <w:sz w:val="24"/>
          <w:szCs w:val="24"/>
        </w:rPr>
        <w:t xml:space="preserve">определение способов закупок, по итогам которых сторонами обеспечивается заключение договоров (контрактов) о закупках и дополнительных соглашений к ним в электронном формате;</w:t>
      </w:r>
    </w:p>
    <w:p>
      <w:pPr>
        <w:spacing w:after="120"/>
        <w:ind w:firstLine="567"/>
        <w:jc w:val="both"/>
      </w:pPr>
      <w:r>
        <w:rPr>
          <w:rFonts w:ascii="Arial" w:cs="Arial" w:eastAsia="Arial" w:hAnsi="Arial"/>
          <w:sz w:val="24"/>
          <w:szCs w:val="24"/>
        </w:rPr>
        <w:t xml:space="preserve">уточнение информации и документов, публикуемых (размещаемых) на веб-портале (в том числе на русском языке), при этом предусматривается переходный период продолжительностью 2 года для применения данной нормы Республикой Армения после вступления в силу поправки;</w:t>
      </w:r>
    </w:p>
    <w:p>
      <w:pPr>
        <w:spacing w:after="120"/>
        <w:ind w:firstLine="567"/>
        <w:jc w:val="both"/>
      </w:pPr>
      <w:r>
        <w:rPr>
          <w:rFonts w:ascii="Arial" w:cs="Arial" w:eastAsia="Arial" w:hAnsi="Arial"/>
          <w:sz w:val="24"/>
          <w:szCs w:val="24"/>
        </w:rPr>
        <w:t xml:space="preserve">уточнение информации и документов, публикуемых (размещаемых) на веб-портале, в отношении которых государства-члены ЕАЭС организуют беспрепятственный и бесплатный доступ;</w:t>
      </w:r>
    </w:p>
    <w:p>
      <w:pPr>
        <w:spacing w:after="120"/>
        <w:ind w:firstLine="567"/>
        <w:jc w:val="both"/>
      </w:pPr>
      <w:r>
        <w:rPr>
          <w:rFonts w:ascii="Arial" w:cs="Arial" w:eastAsia="Arial" w:hAnsi="Arial"/>
          <w:sz w:val="24"/>
          <w:szCs w:val="24"/>
        </w:rPr>
        <w:t xml:space="preserve">расширение перечня случаев осуществления закупок из одного источника:</w:t>
      </w:r>
    </w:p>
    <w:p>
      <w:pPr>
        <w:spacing w:after="120"/>
        <w:ind w:firstLine="567"/>
        <w:jc w:val="both"/>
      </w:pPr>
      <w:r>
        <w:rPr>
          <w:rFonts w:ascii="Arial" w:cs="Arial" w:eastAsia="Arial" w:hAnsi="Arial"/>
          <w:sz w:val="24"/>
          <w:szCs w:val="24"/>
        </w:rPr>
        <w:t xml:space="preserve">- у конкретного юридического лица (коллектива художественного творчества) на исполнение танцевальных, музыкальных, вокальных номеров;</w:t>
      </w:r>
    </w:p>
    <w:p>
      <w:pPr>
        <w:spacing w:after="120"/>
        <w:ind w:firstLine="567"/>
        <w:jc w:val="both"/>
      </w:pPr>
      <w:r>
        <w:rPr>
          <w:rFonts w:ascii="Arial" w:cs="Arial" w:eastAsia="Arial" w:hAnsi="Arial"/>
          <w:sz w:val="24"/>
          <w:szCs w:val="24"/>
        </w:rPr>
        <w:t xml:space="preserve">- услуг, связанных с направлением участников спортивных, физкультурных (спортивно-массовых) мероприятий для участия в данных мероприятиях;</w:t>
      </w:r>
    </w:p>
    <w:p>
      <w:pPr>
        <w:spacing w:after="120"/>
        <w:ind w:firstLine="567"/>
        <w:jc w:val="both"/>
      </w:pPr>
      <w:r>
        <w:rPr>
          <w:rFonts w:ascii="Arial" w:cs="Arial" w:eastAsia="Arial" w:hAnsi="Arial"/>
          <w:sz w:val="24"/>
          <w:szCs w:val="24"/>
        </w:rPr>
        <w:t xml:space="preserve">- товаров (работ, услуг), приобретаемых для осуществления сличений, поверки, калибровки государственных (национальных) эталонов единиц величин и средств измерений из состава государственных (национальных) эталонов;</w:t>
      </w:r>
    </w:p>
    <w:p>
      <w:pPr>
        <w:spacing w:after="120"/>
        <w:ind w:firstLine="567"/>
        <w:jc w:val="both"/>
      </w:pPr>
      <w:r>
        <w:rPr>
          <w:rFonts w:ascii="Arial" w:cs="Arial" w:eastAsia="Arial" w:hAnsi="Arial"/>
          <w:sz w:val="24"/>
          <w:szCs w:val="24"/>
        </w:rPr>
        <w:t xml:space="preserve">- стандартных образцов для испытательных лабораторий, проводящих исследования (испытания) и измерения продукции требованиям технических регламентов ЕАЭС);</w:t>
      </w:r>
    </w:p>
    <w:p>
      <w:pPr>
        <w:spacing w:after="120"/>
        <w:ind w:firstLine="567"/>
        <w:jc w:val="both"/>
      </w:pPr>
      <w:r>
        <w:rPr>
          <w:rFonts w:ascii="Arial" w:cs="Arial" w:eastAsia="Arial" w:hAnsi="Arial"/>
          <w:sz w:val="24"/>
          <w:szCs w:val="24"/>
        </w:rPr>
        <w:t xml:space="preserve">9) в части наделения органов ЕАЭС рядом полномочий, а также уточнения уже имеющихся полномочий, например:</w:t>
      </w:r>
    </w:p>
    <w:p>
      <w:pPr>
        <w:spacing w:after="120"/>
        <w:ind w:firstLine="567"/>
        <w:jc w:val="both"/>
      </w:pPr>
      <w:r>
        <w:rPr>
          <w:rFonts w:ascii="Arial" w:cs="Arial" w:eastAsia="Arial" w:hAnsi="Arial"/>
          <w:sz w:val="24"/>
          <w:szCs w:val="24"/>
        </w:rPr>
        <w:t xml:space="preserve">- ЕЭК:</w:t>
      </w:r>
    </w:p>
    <w:p>
      <w:pPr>
        <w:spacing w:after="120"/>
        <w:ind w:firstLine="567"/>
        <w:jc w:val="both"/>
      </w:pPr>
      <w:r>
        <w:rPr>
          <w:rFonts w:ascii="Arial" w:cs="Arial" w:eastAsia="Arial" w:hAnsi="Arial"/>
          <w:sz w:val="24"/>
          <w:szCs w:val="24"/>
        </w:rPr>
        <w:t xml:space="preserve">по утверждению методологии квалификации препятствий на внутреннем рынке ЕАЭС и признанию барьеров и ограничений устраненными;</w:t>
      </w:r>
    </w:p>
    <w:p>
      <w:pPr>
        <w:spacing w:after="120"/>
        <w:ind w:firstLine="567"/>
        <w:jc w:val="both"/>
      </w:pPr>
      <w:r>
        <w:rPr>
          <w:rFonts w:ascii="Arial" w:cs="Arial" w:eastAsia="Arial" w:hAnsi="Arial"/>
          <w:sz w:val="24"/>
          <w:szCs w:val="24"/>
        </w:rPr>
        <w:t xml:space="preserve">10) технические поправки, в том числе исключение недействующих норм.</w:t>
      </w:r>
    </w:p>
    <w:p>
      <w:pPr>
        <w:spacing w:after="120"/>
        <w:ind w:firstLine="567"/>
        <w:jc w:val="both"/>
      </w:pPr>
      <w:r>
        <w:rPr>
          <w:rFonts w:ascii="Arial" w:cs="Arial" w:eastAsia="Arial" w:hAnsi="Arial"/>
          <w:sz w:val="24"/>
          <w:szCs w:val="24"/>
        </w:rPr>
        <w:t xml:space="preserve">Кроме того, актуализируется название столицы Республики Казахстан в приложениях № 5, 28 и 29 (город "Нур-Султан" заменяется на "Астана").</w:t>
      </w:r>
    </w:p>
    <w:p>
      <w:pPr>
        <w:spacing w:after="120"/>
        <w:ind w:firstLine="567"/>
        <w:jc w:val="both"/>
      </w:pPr>
      <w:r>
        <w:rPr>
          <w:rFonts w:ascii="Arial" w:cs="Arial" w:eastAsia="Arial" w:hAnsi="Arial"/>
          <w:sz w:val="24"/>
          <w:szCs w:val="24"/>
        </w:rPr>
        <w:t xml:space="preserve">В соответствии со </w:t>
      </w:r>
      <w:hyperlink w:history="1" r:id="rIdnp17rffu2fjhf9rsztjyl">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международных договорах Кыргызской Республики" ратификации подлежат только межгосударственные и межправительственные международные договоры Кыргызской Республики, учитывая, что документ подписан президентами государств-членов ЕАЭС на заседании Высшего Евразийского экономического совета, проект распоряжения Кабинета Министров Кыргызской Республики об одобрении проекта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ЕАЭС от 29 мая 2014 года подлежит обязательной ратификации и прохождению внутригосударственных процедур.</w:t>
      </w:r>
    </w:p>
    <w:p>
      <w:pPr>
        <w:spacing w:after="120"/>
        <w:ind w:firstLine="567"/>
        <w:jc w:val="both"/>
      </w:pPr>
      <w:r>
        <w:rPr>
          <w:rFonts w:ascii="Arial" w:cs="Arial" w:eastAsia="Arial" w:hAnsi="Arial"/>
          <w:sz w:val="24"/>
          <w:szCs w:val="24"/>
        </w:rPr>
        <w:t xml:space="preserve">Ранее Протокол был одобрен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9 января 2025 года № 1-р.</w:t>
      </w:r>
    </w:p>
    <w:p>
      <w:pPr>
        <w:spacing w:after="120"/>
        <w:ind w:firstLine="567"/>
        <w:jc w:val="both"/>
      </w:pPr>
      <w:r>
        <w:rPr>
          <w:rFonts w:ascii="Arial" w:cs="Arial" w:eastAsia="Arial" w:hAnsi="Arial"/>
          <w:sz w:val="24"/>
          <w:szCs w:val="24"/>
        </w:rPr>
        <w:t xml:space="preserve">Текст Протокола был рассмотрен и одобрен профильными комитетами Жогорку Кенеша Кыргызской Республики (заключение Комитета по международным делам, обороне, безопасности и миграции от 26.11.2024 г. № 6-10564, заключение Комитета по бюджету, экономической и фискальной политике от 28.11.2024 г. № 6-10699, заключение Комитета по топливно-энергетическому комплексу, недропользованию и промышленной политике от 05.12.2024 г. № 6-10984).</w:t>
      </w:r>
    </w:p>
    <w:p>
      <w:pPr>
        <w:spacing w:after="120"/>
        <w:ind w:firstLine="567"/>
        <w:jc w:val="both"/>
      </w:pPr>
      <w:r>
        <w:rPr>
          <w:rFonts w:ascii="Arial" w:cs="Arial" w:eastAsia="Arial" w:hAnsi="Arial"/>
          <w:sz w:val="24"/>
          <w:szCs w:val="24"/>
        </w:rPr>
        <w:t xml:space="preserve">Протокол не противоречит нормам международных договоров, участницей которых является Кыргызская Республика, </w:t>
      </w:r>
      <w:hyperlink w:history="1" r:id="rIdmtw8utxp9u__om8shlt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законодательству Кыргызской Республики.</w:t>
      </w:r>
    </w:p>
    <w:p>
      <w:pPr>
        <w:spacing w:after="120"/>
        <w:ind w:firstLine="567"/>
        <w:jc w:val="both"/>
      </w:pPr>
      <w:r>
        <w:rPr>
          <w:rFonts w:ascii="Arial" w:cs="Arial" w:eastAsia="Arial" w:hAnsi="Arial"/>
          <w:sz w:val="24"/>
          <w:szCs w:val="24"/>
        </w:rPr>
        <w:t xml:space="preserve">Протокол и его ратификация не повлечет социальных, экономических, правовых, правозащитных, гендерных, экологических, коррупционных, а также финансово-экономических и иных последствий.</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7gaszhoj6nby_mpi5nx">
      <w:r>
        <w:rPr>
          <w:rFonts w:ascii="Arial" w:cs="Arial" w:eastAsia="Arial" w:hAnsi="Arial"/>
          <w:color w:val="132D3F"/>
          <w:sz w:val="16"/>
          <w:szCs w:val="16"/>
          <w:u w:val="single"/>
        </w:rPr>
        <w:t xml:space="preserve">dalil.kg/document/230038466</w:t>
      </w:r>
    </w:hyperlink>
  </w:p>
  <w:p>
    <w:pPr>
      <w:spacing w:after="0" w:before="40"/>
      <w:jc w:val="center"/>
    </w:pPr>
    <w:hyperlink w:history="1" r:id="rIdhyjuknbfl0rrjm8ftyn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7joexfe728ffwjvxemb" Type="http://schemas.openxmlformats.org/officeDocument/2006/relationships/hyperlink" Target="https://dalil.kg/document/112437#st_65" TargetMode="External"/><Relationship Id="rIdghbkrlp5xif8anrro6v1p" Type="http://schemas.openxmlformats.org/officeDocument/2006/relationships/hyperlink" Target="https://dalil.kg/document/112301#st_13" TargetMode="External"/><Relationship Id="rId0f7xzj4npwkpuf4s4hrmr" Type="http://schemas.openxmlformats.org/officeDocument/2006/relationships/hyperlink" Target="https://dalil.kg/document/112301#st_17" TargetMode="External"/><Relationship Id="rIdrinlrtb_qrclwfcmb5oja" Type="http://schemas.openxmlformats.org/officeDocument/2006/relationships/hyperlink" Target="https://dalil.kg/document/230038466#pr" TargetMode="External"/><Relationship Id="rIdnp17rffu2fjhf9rsztjyl" Type="http://schemas.openxmlformats.org/officeDocument/2006/relationships/hyperlink" Target="https://dalil.kg/document/205286#st_11" TargetMode="External"/><Relationship Id="rIdmtw8utxp9u__om8shltuo"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7gaszhoj6nby_mpi5nx" Type="http://schemas.openxmlformats.org/officeDocument/2006/relationships/hyperlink" Target="https://dalil.kg/document/230038466" TargetMode="External"/><Relationship Id="rIdhyjuknbfl0rrjm8ftyn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2026-09-27T05:27:57.789Z</dcterms:created>
  <dcterms:modified xsi:type="dcterms:W3CDTF">2026-09-27T05:27:57.789Z</dcterms:modified>
</cp:coreProperties>
</file>

<file path=docProps/custom.xml><?xml version="1.0" encoding="utf-8"?>
<Properties xmlns="http://schemas.openxmlformats.org/officeDocument/2006/custom-properties" xmlns:vt="http://schemas.openxmlformats.org/officeDocument/2006/docPropsVTypes"/>
</file>