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2025 года № 1183-р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экономической безопасности и бесперебойного обеспечения горюче-смазочными материалами населения страны и оказания государственной поддержки субъектам национальной экономики, в соответствии со статьями </w:t>
      </w:r>
      <w:hyperlink w:history="1" r:id="rIdevfu7vhv34lxf28fh6u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ttm2bdvhyv7rrid4mr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Кабинета Министров Кыргызской Республики от 23 октября 2025 года № 908-т следующие изменения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</w:t>
      </w:r>
      <w:r>
        <w:rPr>
          <w:rFonts w:ascii="Arial" w:cs="Arial" w:eastAsia="Arial" w:hAnsi="Arial"/>
          <w:sz w:val="24"/>
          <w:szCs w:val="24"/>
        </w:rPr>
        <w:t xml:space="preserve">бзац четвертый подпункта 2 пункта 1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льготный период по основной сумме – с января по март 2026 года включительно и по истечении льготного периода, погашение остатка основной суммы установить аннуитетными платежами до конца срока кредитного договора по заявлению ОсОО «Альфа Ойл»;»;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4 дополнить подпунктом 4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«4) выплатить ОАО «Элдик Банк» разницу субсидии, возникающую в случае предоставления льготного периода по выплате основной суммы кредита, указанного в пункте 1 настоящего распоряжения.».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ikyjmd3twyzdjwv4vbf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dalil.kg/document/230038606</w:t>
      </w:r>
    </w:hyperlink>
  </w:p>
  <w:p>
    <w:pPr>
      <w:spacing w:after="0" w:before="40"/>
      <w:jc w:val="center"/>
    </w:pPr>
    <w:hyperlink w:history="1" r:id="rIdpkoohsoig99jd8ykqto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fu7vhv34lxf28fh6uw4" Type="http://schemas.openxmlformats.org/officeDocument/2006/relationships/hyperlink" Target="https://dalil.kg/document/112301#st_13" TargetMode="External"/><Relationship Id="rIdkttm2bdvhyv7rrid4mrpb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ikyjmd3twyzdjwv4vbf7" Type="http://schemas.openxmlformats.org/officeDocument/2006/relationships/hyperlink" Target="https://dalil.kg/document/230038606" TargetMode="External"/><Relationship Id="rIdpkoohsoig99jd8ykqto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2026-09-27T04:47:19.304Z</dcterms:created>
  <dcterms:modified xsi:type="dcterms:W3CDTF">2026-09-27T04:47:19.304Z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