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32"/>
          <w:szCs w:val="32"/>
        </w:rPr>
        <w:t xml:space="preserve">КЫРГЫЗ РЕСПУБЛИКАСЫНЫН ПРЕЗИДЕНТИНИН</w:t>
      </w:r>
      <w:r>
        <w:rPr>
          <w:rFonts w:ascii="Arial" w:cs="Arial" w:eastAsia="Arial" w:hAnsi="Arial"/>
          <w:b/>
          <w:bCs/>
          <w:sz w:val="44"/>
          <w:szCs w:val="44"/>
        </w:rPr>
        <w:t xml:space="preserve">ЖАРЛЫГЫ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44"/>
          <w:szCs w:val="44"/>
        </w:rPr>
        <w:t xml:space="preserve">УКАЗ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Атажанове К.Ы.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В соответствии с пунктом 4 части 6 статьи 70, статьей 71 Конституции 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постановляю: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8"/>
          <w:szCs w:val="28"/>
        </w:rPr>
        <w:t xml:space="preserve">Назначить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Атажанова Кубанычбека Ысламовича</w:t>
      </w:r>
      <w:r>
        <w:rPr>
          <w:rFonts w:ascii="Arial" w:cs="Arial" w:eastAsia="Arial" w:hAnsi="Arial"/>
          <w:sz w:val="28"/>
          <w:szCs w:val="28"/>
        </w:rPr>
        <w:t xml:space="preserve"> – советника Посольства Кыргызской Республики в Российской Федерации Постоянным и Полномочным представителем Кыргызской Республики в Постоянном совете Организации Договора о коллективной безопасности по совместительству.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С.Н. Жапаров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u5vyfigmewhtfqex5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dalil.kg/document/230038870</w:t>
      </w:r>
    </w:hyperlink>
  </w:p>
  <w:p>
    <w:pPr>
      <w:spacing w:after="0" w:before="40"/>
      <w:jc w:val="center"/>
    </w:pPr>
    <w:hyperlink w:history="1" r:id="rId6shn-ipkcltuqxfxo5k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u5vyfigmewhtfqex5yf" Type="http://schemas.openxmlformats.org/officeDocument/2006/relationships/hyperlink" Target="https://dalil.kg/document/230038870" TargetMode="External"/><Relationship Id="rId6shn-ipkcltuqxfxo5k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2026-09-27T05:09:00.850Z</dcterms:created>
  <dcterms:modified xsi:type="dcterms:W3CDTF">2026-09-27T05:09:00.850Z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