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(Утвержден </w:t>
      </w:r>
      <w:hyperlink w:history="1" r:id="rIdks9ou8zyzkimbvqcfm0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 января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года № 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4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 и аудита в Кыргызской Республике на 2026–2030 годы</w:t>
      </w:r>
    </w:p>
    <w:p>
      <w:pPr>
        <w:spacing w:after="1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1724"/>
        <w:gridCol w:w="1939"/>
        <w:gridCol w:w="1447"/>
        <w:gridCol w:w="2134"/>
        <w:gridCol w:w="1457"/>
        <w:gridCol w:w="1067"/>
        <w:gridCol w:w="1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реализации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финансиро- 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корпоративной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отчетности, внедрение системы контроля качества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Изучить опыт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построения независимой надлежаще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аудита со стороны уполномоченного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(передовой/лучший опыт)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2027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Поездки сотрудников Финнадзора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опыта независимой надлежащей оценки качества аудита (например,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бухгалтерского учета, от- четности и аудита при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финансов,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AFM – Нидерланский регулятор финансового рынка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т.д.)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Ввести механизм независимой надлежащей оценки качества аудита посредством внесения дополнений и изменений в Закон КР «Об аудиторской деятельности», также в некоторые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законодательные акты по внедрению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(независимого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ера/инспектора-аудито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 по контролю качества с соответствующей заработной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сом)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НПА. Наличие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(Фин- надзора) независимого 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тролера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/инспектора-ауди-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аудита СПИ и СКП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обзоры финансовой отчетности СПИ и СКП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II–IV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качественные обзоры.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Провести практические занятия для сотрудников Финнадзора в целях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практических навыков и знаний, позволяющих им выполнять свои регуляторные (контрольные) функции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финансовой от- четности и аудита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аудита. Проведены практические занятия для сотрудников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пилотного контроля качества аудита аудиторских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нансовой отчетности СПИ и СКП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регулятора 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профессиональной компетентности</w:t>
            </w:r>
          </w:p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Установить устойчивый механизм 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МСФО, МСФО для МСП,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 этики профессиональных бухгалтеров, а также их обновлений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создании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своевременный доступ к обновленным МСФО,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МСА, кодексу этики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фессиональных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языке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республи- канского бюджета, донорских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Провести семинары, курсы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квалификации, практические занятия для сотрудников Финнадзора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навыков и знаний для надлежащего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регуляторных функции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 контроля качества финансовой отчетности и 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(обновленные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2030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кации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средств республи- канского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бюджета, донорских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Подготовить доку- мент для сотрудников в области бухгалтерского учета и аудита, мониторинга, контроля и надзора регулятора,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обязывающий к ежегодному непрерывному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прохождению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обязывающий сотрудников к ежегодному прохождению повышения квалификации по МСФО,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средств республи- канского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практикующих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основ составления финансовой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 в соответствии с установленными критериями субъектов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предприни- мательства, действующих аудиторов по углубленному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пониманию и практическому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 субъектов общественного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интереса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профессиональная квалификация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аудиторов.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серии семинаров по применению обнов- ленных МСФО и МСА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Обучить бухгалте- ров, ССП применению МСФО для МСП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профессиональ- ная квалификация практи- кующих бухгалтеров.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серии семина- ров по применению обнов- ленных МСФО для МСП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Обучить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углубленному пониманию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практическому применению МСФО и МСА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профессиональная квалификация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 аудиторов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серии семинаров по применению обнов- ленных МСФО и МСА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эффективности института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Обучить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аудита, кодексу этики бухгалтеров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(введен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1–2 инспектора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аудита).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профессиональной квалификации и этического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участия ПАО в регулировании аудиторской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по- строении соответствую- щей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ведению контроля качества аудита в ПАО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документы по проведению контроля качества аудита.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Внедрить независимого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независимого инспектора-контролера качества аудита в штате ПАО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мониторинг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2030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Содействовать наращиванию потенциала ПАО для повышения их способности предоставлять квалификации для бухгалтеров и аудиторов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ПАО по реализации профессиональной квалификации</w:t>
            </w:r>
          </w:p>
        </w:tc>
        <w:tc>
          <w:tcPr>
            <w:tcW w:type="dxa" w:w="14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для администраторов и пользователей ин- формационной системы Депозитария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корпоративной финансовой отчетности. Повышен 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по развитию навыков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использования процедур, методологий,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инструментов, электронных таблиц для сбора, публикации и суммирования информации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четности для сотрудников регулятора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корпоративной финансовой отчетности.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прозрачности и обеспечения общественной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аудированной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СПИ, СКП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ССП по процедурам представления финансовой отчетности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электронную систему ПДФО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составители финансовой отчетности.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корпоративной финансовой 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прозрачности и обеспечения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Ввести в действие ПДФО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информационную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корпоративной финансовой от- четности.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общественной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аудированной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дународный форум независимых регуля- торов аудита (IFIAR)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 Изучить и подгото- вить необходимые доку- менты для членства в IFIAR, а также по источ- никам финансирования обеспечения членских взносов и т.д.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IFIAR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действо- ванных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Вступление и актив- 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участия в рабочих груп- пах и мероприятиях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Членство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авторитета страны в международных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аудита.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доверия к фи- нансовой отчетности.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инвестиций. Повышен статус Фин- надзора, как регулятора в области аудиторской дея- тельности и аудита (част- ного сектора) КР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средств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действован-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терств и ве-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учебного центра по повышения квалификации специ- алистов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обосно- 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учеб- ного центра и проект постановления КМКР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КМКР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положе- ния об учебном центре, организационной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струк- туре,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должност- 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штат- ное расписание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учебный центр.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регуляторные риски за счет повышения осведомленности участни- 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конодательства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Создание МТО: по- мещение, компьютеры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Организовать пилот- 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по- средством проведения первых тренингов, семи- наров,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вебинаров,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коррек- тировки программ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тренингов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Разработать модель долгосрочного финанси-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потенци- ала преподавателей вузов, спузов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Организовать семи- нары по формированию навыков и проведение практических занятий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вузов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спузов по применению МСФО и MCA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соответствую- 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препода- вателей вузов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кодекса этики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 СПИ и СКП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на норма- тивном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требова- ния об обязательном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 этики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 и СКП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дополнение в За- кон КР «О бухгалтерском учете» и соответствующие НПА по процедуре соблю- дения и повышении квали- фикации бухгалтеров СПИ и СКП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партнеров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внедрения системы профессио- нальной квалифика- ции аудиторов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Пилотировать ак- кредитацию программ 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экза- менов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 фессиональной квалифи- кации аудитора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системы профессиональной квалификации аудитора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ор- 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профессиональной ква- лификации аудиторам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до- полнения в Закон 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аудиторской деятель- ности»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некоторые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соот- ветствующие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Провести пилотные экзамены,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экза- менаторов, разработчи- ков экзаменационных 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системы профессиональной квалификации аудитора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трехуровневой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профес- сиональной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(ACCA,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ICAEW,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CPA)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Провести валида- цию программы профес- сиональной квалифика- ции аудиторов с между- народными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программами (ACCA, ICAEW, CPA)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валидация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взаим- ное признание програм- мы профессиональной квалификации с между- народными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Взаимно признание между- народных программ серти-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фикации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(ESG)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норматив- 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инсти- туциональной базы в области устойчивого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Получить и подпи- сать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согла- 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меж- дународным стандартам устойчивого развития (ISSB)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примене- ния и использования международных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стандар- 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и подписано ли- цензионное соглашения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ISSB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Получить офици- альное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 вести процедуры, уста- новленные разработчи- кам по переводу ESG на государственный язык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и получено раз- решение ISSB на перевод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Подготовить НПА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устойчивого механизма финансирова- ния переводов на госу- дарственный язык ESG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КМКР об устойчивом механизме фи- нансирования переводов на государственный язык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госу- дарственный язык ESG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госу- дарственный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силу.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внедрению и примене- нию ESG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2028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бухгалтерской учете», по- становление КМКР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дополнения в законода- 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определению ответственного уполно- 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 ного органа за монито- ринг отчетности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2028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дополнение в За- кон Кыргызской Респуб- лики «О бухгалтерском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учете».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Финнадзоре и другие НПА.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обновленные за- коны и НПА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инфраструк- туры ESG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Внедрить требова- ния о составлении и рас- крытии ESG, СПИ и СК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КМКР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Разработать и внед- рить руководство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совой публичной отчет- ности и отчетности в об- 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составле- нию отчетности по вопро- сам устойчивого развития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рекомендаций UNCTAD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Внедрить систему представления элек- тронной отчетности по вопросам устойчивого развития посредством портала ПДФО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нансовой отчетности и от- 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СКП посредством ПДФО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 Участвовать сис- тематически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дальней- шем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регио- нальном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продвижению отчет- ности об устойчивости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заседаниях Евразийского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устойчивости и ЦУР,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командировки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13.5. Провести повтор- ную оценку националь- ной инфраструктуры учета и отчетности ADT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ADT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Кыргызской Республике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(UNCTAD,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IFC)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соответ- ствующий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кадрового потенциала и компе- тенций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Внедрить ESG-дис- циплину в программы среднего, высшего про- фессионального образо- вания, подготовки и по- вышения квалификации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2029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ESG-дисциплина. Внедрены темы ESG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непрерывному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профессио- нальному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образованию аудиторов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вузы,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Обучить специа-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корпоративных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менедже- ров принципам ESG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международ- ных экспертов, обладаю-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экспертизы и практи-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2029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по применению ESG с привле- чением экспертов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(IFC, GIZ, АБР, ISAR,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UNCTAD),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независи- мых директоров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Обучить специа- листов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СКП,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подготовке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ESG-отчетно-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2029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применению ESG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(IFC, GIZ, АБР, ISAR,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UNCTAD)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независи- мых директоров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 бухгалтерского учета и аудита по ислам- ским стандартам 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нансирования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Изучение вопроса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 бухгалтерского учета и аудита по исламским стандартам финансиро-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аналитичес- кие материалы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грамотности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приятий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обществен- 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устойчивому развитию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Продвигать финан- совую грамотности насе- ления, предоставление знаний о финансовой от- четности и ее роли в предоставлении надеж- ной информации (семи- нары, вебинары и публи- кации, направленные на объяснение значения и преимуществ качествен- 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III кв. 2030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преимуществах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корпоративной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преимуществах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публичной нефинансо- вой отчетности и отчет- ности по устойчивому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III кв. 2030 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общественности о преимуществах качествен- ной нефинансовой отчетно- 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чивому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и прозрачности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 для общественности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Осуществлять раскрытие и опубликование полного пакета корпоративной финансовой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 публичных компаний посредством портала ПДФО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функционирование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свободного до- ступа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корпоративной финансовой отчетности компаний.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преимуществах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отчетности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 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тых данных и прозрачных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Внедрить реестр публичных компаний, в 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СПИ, СКП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открытым данным публичных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компаний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предусмот- 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бюд- 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before="6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3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</w:t>
      </w:r>
      <w:r>
        <w:rPr>
          <w:rFonts w:ascii="Arial" w:cs="Arial" w:eastAsia="Arial" w:hAnsi="Arial"/>
          <w:sz w:val="24"/>
          <w:szCs w:val="24"/>
        </w:rPr>
        <w:t xml:space="preserve">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финансов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науки,</w:t>
      </w:r>
      <w:r>
        <w:rPr>
          <w:rFonts w:ascii="Arial" w:cs="Arial" w:eastAsia="Arial" w:hAnsi="Arial"/>
          <w:sz w:val="24"/>
          <w:szCs w:val="24"/>
        </w:rPr>
        <w:t xml:space="preserve">высшего</w:t>
      </w:r>
      <w:r>
        <w:rPr>
          <w:rFonts w:ascii="Arial" w:cs="Arial" w:eastAsia="Arial" w:hAnsi="Arial"/>
          <w:sz w:val="24"/>
          <w:szCs w:val="24"/>
        </w:rPr>
        <w:t xml:space="preserve">образования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инноваций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</w:t>
      </w:r>
      <w:r>
        <w:rPr>
          <w:rFonts w:ascii="Arial" w:cs="Arial" w:eastAsia="Arial" w:hAnsi="Arial"/>
          <w:sz w:val="24"/>
          <w:szCs w:val="24"/>
        </w:rPr>
        <w:t xml:space="preserve">регулирования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надзора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финансовым</w:t>
      </w:r>
      <w:r>
        <w:rPr>
          <w:rFonts w:ascii="Arial" w:cs="Arial" w:eastAsia="Arial" w:hAnsi="Arial"/>
          <w:sz w:val="24"/>
          <w:szCs w:val="24"/>
        </w:rPr>
        <w:t xml:space="preserve">рынком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экономики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коммерции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аудиторское</w:t>
      </w:r>
      <w:r>
        <w:rPr>
          <w:rFonts w:ascii="Arial" w:cs="Arial" w:eastAsia="Arial" w:hAnsi="Arial"/>
          <w:sz w:val="24"/>
          <w:szCs w:val="24"/>
        </w:rPr>
        <w:t xml:space="preserve">объединение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  <w:r>
        <w:rPr>
          <w:rFonts w:ascii="Arial" w:cs="Arial" w:eastAsia="Arial" w:hAnsi="Arial"/>
          <w:sz w:val="24"/>
          <w:szCs w:val="24"/>
        </w:rPr>
        <w:t xml:space="preserve">интереса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крупного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</w:t>
      </w:r>
      <w:r>
        <w:rPr>
          <w:rFonts w:ascii="Arial" w:cs="Arial" w:eastAsia="Arial" w:hAnsi="Arial"/>
          <w:sz w:val="24"/>
          <w:szCs w:val="24"/>
        </w:rPr>
        <w:t xml:space="preserve">правовые</w:t>
      </w:r>
      <w:r>
        <w:rPr>
          <w:rFonts w:ascii="Arial" w:cs="Arial" w:eastAsia="Arial" w:hAnsi="Arial"/>
          <w:sz w:val="24"/>
          <w:szCs w:val="24"/>
        </w:rPr>
        <w:t xml:space="preserve">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Публичный</w:t>
      </w:r>
      <w:r>
        <w:rPr>
          <w:rFonts w:ascii="Arial" w:cs="Arial" w:eastAsia="Arial" w:hAnsi="Arial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</w:t>
      </w:r>
      <w:r>
        <w:rPr>
          <w:rFonts w:ascii="Arial" w:cs="Arial" w:eastAsia="Arial" w:hAnsi="Arial"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IFIAR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</w:t>
      </w:r>
      <w:r>
        <w:rPr>
          <w:rFonts w:ascii="Arial" w:cs="Arial" w:eastAsia="Arial" w:hAnsi="Arial"/>
          <w:sz w:val="24"/>
          <w:szCs w:val="24"/>
        </w:rPr>
        <w:t xml:space="preserve">форум</w:t>
      </w:r>
      <w:r>
        <w:rPr>
          <w:rFonts w:ascii="Arial" w:cs="Arial" w:eastAsia="Arial" w:hAnsi="Arial"/>
          <w:sz w:val="24"/>
          <w:szCs w:val="24"/>
        </w:rPr>
        <w:t xml:space="preserve">независимых</w:t>
      </w:r>
      <w:r>
        <w:rPr>
          <w:rFonts w:ascii="Arial" w:cs="Arial" w:eastAsia="Arial" w:hAnsi="Arial"/>
          <w:sz w:val="24"/>
          <w:szCs w:val="24"/>
        </w:rPr>
        <w:t xml:space="preserve">регуляторов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Forum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Independent</w:t>
      </w:r>
      <w:r>
        <w:rPr>
          <w:rFonts w:ascii="Arial" w:cs="Arial" w:eastAsia="Arial" w:hAnsi="Arial"/>
          <w:sz w:val="24"/>
          <w:szCs w:val="24"/>
        </w:rPr>
        <w:t xml:space="preserve">Audit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ISSB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Sustainability</w:t>
      </w:r>
      <w:r>
        <w:rPr>
          <w:rFonts w:ascii="Arial" w:cs="Arial" w:eastAsia="Arial" w:hAnsi="Arial"/>
          <w:sz w:val="24"/>
          <w:szCs w:val="24"/>
        </w:rPr>
        <w:t xml:space="preserve">Standards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</w:t>
      </w:r>
      <w:r>
        <w:rPr>
          <w:rFonts w:ascii="Arial" w:cs="Arial" w:eastAsia="Arial" w:hAnsi="Arial"/>
          <w:sz w:val="24"/>
          <w:szCs w:val="24"/>
        </w:rPr>
        <w:t xml:space="preserve">стандарт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(Environmental,</w:t>
      </w:r>
      <w:r>
        <w:rPr>
          <w:rFonts w:ascii="Arial" w:cs="Arial" w:eastAsia="Arial" w:hAnsi="Arial"/>
          <w:sz w:val="24"/>
          <w:szCs w:val="24"/>
        </w:rPr>
        <w:t xml:space="preserve">Social</w:t>
      </w:r>
      <w:r>
        <w:rPr>
          <w:rFonts w:ascii="Arial" w:cs="Arial" w:eastAsia="Arial" w:hAnsi="Arial"/>
          <w:sz w:val="24"/>
          <w:szCs w:val="24"/>
        </w:rPr>
        <w:t xml:space="preserve">and</w:t>
      </w:r>
      <w:r>
        <w:rPr>
          <w:rFonts w:ascii="Arial" w:cs="Arial" w:eastAsia="Arial" w:hAnsi="Arial"/>
          <w:sz w:val="24"/>
          <w:szCs w:val="24"/>
        </w:rPr>
        <w:t xml:space="preserve">Governance)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UNCTAD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Конференция</w:t>
      </w:r>
      <w:r>
        <w:rPr>
          <w:rFonts w:ascii="Arial" w:cs="Arial" w:eastAsia="Arial" w:hAnsi="Arial"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торговле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развитию</w:t>
      </w:r>
      <w:r>
        <w:rPr>
          <w:rFonts w:ascii="Arial" w:cs="Arial" w:eastAsia="Arial" w:hAnsi="Arial"/>
          <w:sz w:val="24"/>
          <w:szCs w:val="24"/>
        </w:rPr>
        <w:t xml:space="preserve">(United</w:t>
      </w:r>
      <w:r>
        <w:rPr>
          <w:rFonts w:ascii="Arial" w:cs="Arial" w:eastAsia="Arial" w:hAnsi="Arial"/>
          <w:sz w:val="24"/>
          <w:szCs w:val="24"/>
        </w:rPr>
        <w:t xml:space="preserve">Nations</w:t>
      </w:r>
      <w:r>
        <w:rPr>
          <w:rFonts w:ascii="Arial" w:cs="Arial" w:eastAsia="Arial" w:hAnsi="Arial"/>
          <w:sz w:val="24"/>
          <w:szCs w:val="24"/>
        </w:rPr>
        <w:t xml:space="preserve">Conference</w:t>
      </w:r>
      <w:r>
        <w:rPr>
          <w:rFonts w:ascii="Arial" w:cs="Arial" w:eastAsia="Arial" w:hAnsi="Arial"/>
          <w:sz w:val="24"/>
          <w:szCs w:val="24"/>
        </w:rPr>
        <w:t xml:space="preserve">on</w:t>
      </w:r>
      <w:r>
        <w:rPr>
          <w:rFonts w:ascii="Arial" w:cs="Arial" w:eastAsia="Arial" w:hAnsi="Arial"/>
          <w:sz w:val="24"/>
          <w:szCs w:val="24"/>
        </w:rPr>
        <w:t xml:space="preserve">Trade</w:t>
      </w:r>
      <w:r>
        <w:rPr>
          <w:rFonts w:ascii="Arial" w:cs="Arial" w:eastAsia="Arial" w:hAnsi="Arial"/>
          <w:sz w:val="24"/>
          <w:szCs w:val="24"/>
        </w:rPr>
        <w:t xml:space="preserve">and</w:t>
      </w:r>
      <w:r>
        <w:rPr>
          <w:rFonts w:ascii="Arial" w:cs="Arial" w:eastAsia="Arial" w:hAnsi="Arial"/>
          <w:sz w:val="24"/>
          <w:szCs w:val="24"/>
        </w:rPr>
        <w:t xml:space="preserve">Development)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Межправительственная</w:t>
      </w:r>
      <w:r>
        <w:rPr>
          <w:rFonts w:ascii="Arial" w:cs="Arial" w:eastAsia="Arial" w:hAnsi="Arial"/>
          <w:sz w:val="24"/>
          <w:szCs w:val="24"/>
        </w:rPr>
        <w:t xml:space="preserve">рабочая</w:t>
      </w:r>
      <w:r>
        <w:rPr>
          <w:rFonts w:ascii="Arial" w:cs="Arial" w:eastAsia="Arial" w:hAnsi="Arial"/>
          <w:sz w:val="24"/>
          <w:szCs w:val="24"/>
        </w:rPr>
        <w:t xml:space="preserve">группа</w:t>
      </w:r>
      <w:r>
        <w:rPr>
          <w:rFonts w:ascii="Arial" w:cs="Arial" w:eastAsia="Arial" w:hAnsi="Arial"/>
          <w:sz w:val="24"/>
          <w:szCs w:val="24"/>
        </w:rPr>
        <w:t xml:space="preserve">экспертов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учета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8rbgzgqyhb0fzjkkf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dalil.kg/document/230038904</w:t>
      </w:r>
    </w:hyperlink>
  </w:p>
  <w:p>
    <w:pPr>
      <w:spacing w:after="0" w:before="40"/>
      <w:jc w:val="center"/>
    </w:pPr>
    <w:hyperlink w:history="1" r:id="rIdqsvkwploigiozkfqxyn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9ou8zyzkimbvqcfm0hr" Type="http://schemas.openxmlformats.org/officeDocument/2006/relationships/hyperlink" Target="https://dalil.kg/document/2300387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8rbgzgqyhb0fzjkkfxl" Type="http://schemas.openxmlformats.org/officeDocument/2006/relationships/hyperlink" Target="https://dalil.kg/document/230038904" TargetMode="External"/><Relationship Id="rIdqsvkwploigiozkfqxyn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2026-09-24T03:08:23.753Z</dcterms:created>
  <dcterms:modified xsi:type="dcterms:W3CDTF">2026-09-24T03:08:23.753Z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