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снижении размера сбора за разрешение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тонирование боковых стекол передних дверей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владельцев транспортных средств при регистрации разрешения на тонирование боковых стекол передних дверей транспортных средств, в соответствии со </w:t>
      </w:r>
      <w:hyperlink w:history="1" r:id="rIdgfwc7gm21__xyxig8p3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дорожном движении в Кыргызской Республике», статьями </w:t>
      </w:r>
      <w:hyperlink w:history="1" r:id="rIdogahpsdibsrvghlbfcd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-owhlxdhp4dkxv2ze7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за разрешение на тонирование боковых стекол передних дверей транспортных средств на период со 2 февраля по 3 марта 2026 года в размере;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350 расчетных показателей для физических лиц-резидентов;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550 расчетных показателей для юридических лиц;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750 расчетных показателей для нерезидентов;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 разрешение регистрируется сроком на один год;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 указанный размер сбора за разрешение на тонирование боковых стекол передних дверей транспортных средств распространяется на транспортные средства категорий M1 и M1G, за исключением электромобилей.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на период действия временного снижения размера сбора за разрешение на тонирование боковых стекол передних дверей транспортных средств действие </w:t>
      </w:r>
      <w:r>
        <w:rPr>
          <w:rFonts w:ascii="Arial" w:cs="Arial" w:eastAsia="Arial" w:hAnsi="Arial"/>
          <w:sz w:val="24"/>
          <w:szCs w:val="24"/>
        </w:rPr>
        <w:t xml:space="preserve">пункта 3</w:t>
      </w:r>
      <w:r>
        <w:rPr>
          <w:rFonts w:ascii="Arial" w:cs="Arial" w:eastAsia="Arial" w:hAnsi="Arial"/>
          <w:sz w:val="24"/>
          <w:szCs w:val="24"/>
        </w:rPr>
        <w:t xml:space="preserve"> Порядка уплаты сбора и регистрации разрешения на тонирование боковых стекол передних дверей транспортных средств, утвержденного </w:t>
      </w:r>
      <w:hyperlink w:history="1" r:id="rIdhjwbncsbp2va1hclc3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Государственного центра по регистрации транспортных средств и водительского состава при Управлении делами Президента Кыргызской Республики» от 27 ноября 2025 года № 760.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https://www.gov.kg/ru/npa/s/4763 от 29 января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jrcblvz2yg25q7hof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dalil.kg/document/230038985</w:t>
      </w:r>
    </w:hyperlink>
  </w:p>
  <w:p>
    <w:pPr>
      <w:spacing w:after="0" w:before="40"/>
      <w:jc w:val="center"/>
    </w:pPr>
    <w:hyperlink w:history="1" r:id="rIdb5qqjil0sa8org6ht7e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wc7gm21__xyxig8p3qe" Type="http://schemas.openxmlformats.org/officeDocument/2006/relationships/hyperlink" Target="https://dalil.kg/document/60#st_23_1" TargetMode="External"/><Relationship Id="rIdogahpsdibsrvghlbfcd3x" Type="http://schemas.openxmlformats.org/officeDocument/2006/relationships/hyperlink" Target="https://dalil.kg/document/112301#st_13" TargetMode="External"/><Relationship Id="rId3-owhlxdhp4dkxv2ze7lc" Type="http://schemas.openxmlformats.org/officeDocument/2006/relationships/hyperlink" Target="https://dalil.kg/document/112301#st_17" TargetMode="External"/><Relationship Id="rIdhjwbncsbp2va1hclc3cpn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jrcblvz2yg25q7hofef" Type="http://schemas.openxmlformats.org/officeDocument/2006/relationships/hyperlink" Target="https://dalil.kg/document/230038985" TargetMode="External"/><Relationship Id="rIdb5qqjil0sa8org6ht7e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2026-09-24T23:36:08.232Z</dcterms:created>
  <dcterms:modified xsi:type="dcterms:W3CDTF">2026-09-24T23:36:08.232Z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