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 декабря 2025 года № 161</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итогах голосования по многомандатному избирательному округу № 13 на досрочных выборах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Указом</w:t>
      </w:r>
      <w:r>
        <w:rPr>
          <w:rFonts w:ascii="Arial" w:cs="Arial" w:eastAsia="Arial" w:hAnsi="Arial"/>
          <w:sz w:val="24"/>
          <w:szCs w:val="24"/>
        </w:rPr>
        <w:t xml:space="preserve"> Президента Кыргызской Республики "О назначении досрочных выборов депутатов Жогорку Кенеша Кыргызской Республики" от 30 сентября 2025 года № 272 были назначены на 30 ноября 2025 года досрочные выборы депутатов Жогорку Кенеша Кыргызской Республики.</w:t>
      </w:r>
    </w:p>
    <w:p>
      <w:pPr>
        <w:spacing w:after="120"/>
        <w:ind w:firstLine="567"/>
        <w:jc w:val="both"/>
      </w:pPr>
      <w:r>
        <w:rPr>
          <w:rFonts w:ascii="Arial" w:cs="Arial" w:eastAsia="Arial" w:hAnsi="Arial"/>
          <w:sz w:val="24"/>
          <w:szCs w:val="24"/>
        </w:rPr>
        <w:t xml:space="preserve">Постановлением</w:t>
      </w:r>
      <w:r>
        <w:rPr>
          <w:rFonts w:ascii="Arial" w:cs="Arial" w:eastAsia="Arial" w:hAnsi="Arial"/>
          <w:sz w:val="24"/>
          <w:szCs w:val="24"/>
        </w:rPr>
        <w:t xml:space="preserve"> Центральной комиссии по выборам и проведению референдумов Кыргызской Республики (далее - Центральной избирательной комиссией) "О схеме и границах избирательных округов на досрочных выборах депутатов Жогорку Кенеша Кыргызской Республики" от 1 октября 2025 года № 88 утверждены Схема и граница многомандатного избирательного округа № 13 на досрочных выборах депутатов Жогорку Кенеша Кыргызской Республики.</w:t>
      </w:r>
    </w:p>
    <w:p>
      <w:pPr>
        <w:spacing w:after="120"/>
        <w:ind w:firstLine="567"/>
        <w:jc w:val="both"/>
      </w:pPr>
      <w:r>
        <w:rPr>
          <w:rFonts w:ascii="Arial" w:cs="Arial" w:eastAsia="Arial" w:hAnsi="Arial"/>
          <w:sz w:val="24"/>
          <w:szCs w:val="24"/>
        </w:rPr>
        <w:t xml:space="preserve">Для проведения голосования в многомандатном избирательном округе № 13 образовано 94 избирательных участка.</w:t>
      </w:r>
    </w:p>
    <w:p>
      <w:pPr>
        <w:spacing w:after="120"/>
        <w:ind w:firstLine="567"/>
        <w:jc w:val="both"/>
      </w:pPr>
      <w:r>
        <w:rPr>
          <w:rFonts w:ascii="Arial" w:cs="Arial" w:eastAsia="Arial" w:hAnsi="Arial"/>
          <w:sz w:val="24"/>
          <w:szCs w:val="24"/>
        </w:rPr>
        <w:t xml:space="preserve">В список избирателей по многомандатному избирательному округу № 13 включено 160344 избирателей, из них согласно предварительным итогам данных АСУ 76721 избирателя приняли участие в голосовании, что составило 47,85%.</w:t>
      </w:r>
    </w:p>
    <w:p>
      <w:pPr>
        <w:spacing w:after="120"/>
        <w:ind w:firstLine="567"/>
        <w:jc w:val="both"/>
      </w:pPr>
      <w:r>
        <w:rPr>
          <w:rFonts w:ascii="Arial" w:cs="Arial" w:eastAsia="Arial" w:hAnsi="Arial"/>
          <w:sz w:val="24"/>
          <w:szCs w:val="24"/>
        </w:rPr>
        <w:t xml:space="preserve">По многомандатному избирательному округу № 13 Центральной избирательной комиссией зарегистрировано 14 кандидатов в депутаты Жогорку Кенеша Кыргызской Республики:</w:t>
      </w:r>
    </w:p>
    <w:p>
      <w:pPr>
        <w:spacing w:after="120"/>
        <w:ind w:firstLine="567"/>
        <w:jc w:val="both"/>
      </w:pPr>
      <w:r>
        <w:rPr>
          <w:rFonts w:ascii="Arial" w:cs="Arial" w:eastAsia="Arial" w:hAnsi="Arial"/>
          <w:sz w:val="24"/>
          <w:szCs w:val="24"/>
        </w:rPr>
        <w:t xml:space="preserve">1. Нышанов Сайдулла Канболотович; </w:t>
      </w:r>
    </w:p>
    <w:p>
      <w:pPr>
        <w:spacing w:after="120"/>
        <w:ind w:firstLine="567"/>
        <w:jc w:val="both"/>
      </w:pPr>
      <w:r>
        <w:rPr>
          <w:rFonts w:ascii="Arial" w:cs="Arial" w:eastAsia="Arial" w:hAnsi="Arial"/>
          <w:sz w:val="24"/>
          <w:szCs w:val="24"/>
        </w:rPr>
        <w:t xml:space="preserve">2. Мамытов Талант Турдумаматович;</w:t>
      </w:r>
    </w:p>
    <w:p>
      <w:pPr>
        <w:spacing w:after="120"/>
        <w:ind w:firstLine="567"/>
        <w:jc w:val="both"/>
      </w:pPr>
      <w:r>
        <w:rPr>
          <w:rFonts w:ascii="Arial" w:cs="Arial" w:eastAsia="Arial" w:hAnsi="Arial"/>
          <w:sz w:val="24"/>
          <w:szCs w:val="24"/>
        </w:rPr>
        <w:t xml:space="preserve">3. Кенжебаев Нурланбек Исраилжанович;</w:t>
      </w:r>
    </w:p>
    <w:p>
      <w:pPr>
        <w:spacing w:after="120"/>
        <w:ind w:firstLine="567"/>
        <w:jc w:val="both"/>
      </w:pPr>
      <w:r>
        <w:rPr>
          <w:rFonts w:ascii="Arial" w:cs="Arial" w:eastAsia="Arial" w:hAnsi="Arial"/>
          <w:sz w:val="24"/>
          <w:szCs w:val="24"/>
        </w:rPr>
        <w:t xml:space="preserve">4. Курбаналиев Жаныбек Масабирович;</w:t>
      </w:r>
    </w:p>
    <w:p>
      <w:pPr>
        <w:spacing w:after="120"/>
        <w:ind w:firstLine="567"/>
        <w:jc w:val="both"/>
      </w:pPr>
      <w:r>
        <w:rPr>
          <w:rFonts w:ascii="Arial" w:cs="Arial" w:eastAsia="Arial" w:hAnsi="Arial"/>
          <w:sz w:val="24"/>
          <w:szCs w:val="24"/>
        </w:rPr>
        <w:t xml:space="preserve">5. Жээнбекова Гулназ Камытовна;</w:t>
      </w:r>
    </w:p>
    <w:p>
      <w:pPr>
        <w:spacing w:after="120"/>
        <w:ind w:firstLine="567"/>
        <w:jc w:val="both"/>
      </w:pPr>
      <w:r>
        <w:rPr>
          <w:rFonts w:ascii="Arial" w:cs="Arial" w:eastAsia="Arial" w:hAnsi="Arial"/>
          <w:sz w:val="24"/>
          <w:szCs w:val="24"/>
        </w:rPr>
        <w:t xml:space="preserve">6. Маматалиева Мунара Даниярбековна;</w:t>
      </w:r>
    </w:p>
    <w:p>
      <w:pPr>
        <w:spacing w:after="120"/>
        <w:ind w:firstLine="567"/>
        <w:jc w:val="both"/>
      </w:pPr>
      <w:r>
        <w:rPr>
          <w:rFonts w:ascii="Arial" w:cs="Arial" w:eastAsia="Arial" w:hAnsi="Arial"/>
          <w:sz w:val="24"/>
          <w:szCs w:val="24"/>
        </w:rPr>
        <w:t xml:space="preserve">7. Джураева Чинара Муратовна;</w:t>
      </w:r>
    </w:p>
    <w:p>
      <w:pPr>
        <w:spacing w:after="120"/>
        <w:ind w:firstLine="567"/>
        <w:jc w:val="both"/>
      </w:pPr>
      <w:r>
        <w:rPr>
          <w:rFonts w:ascii="Arial" w:cs="Arial" w:eastAsia="Arial" w:hAnsi="Arial"/>
          <w:sz w:val="24"/>
          <w:szCs w:val="24"/>
        </w:rPr>
        <w:t xml:space="preserve">8. Абдалиев Мейкинбек Акимович;</w:t>
      </w:r>
    </w:p>
    <w:p>
      <w:pPr>
        <w:spacing w:after="120"/>
        <w:ind w:firstLine="567"/>
        <w:jc w:val="both"/>
      </w:pPr>
      <w:r>
        <w:rPr>
          <w:rFonts w:ascii="Arial" w:cs="Arial" w:eastAsia="Arial" w:hAnsi="Arial"/>
          <w:sz w:val="24"/>
          <w:szCs w:val="24"/>
        </w:rPr>
        <w:t xml:space="preserve">9. Карабекова Айгүл Асановна;</w:t>
      </w:r>
    </w:p>
    <w:p>
      <w:pPr>
        <w:spacing w:after="120"/>
        <w:ind w:firstLine="567"/>
        <w:jc w:val="both"/>
      </w:pPr>
      <w:r>
        <w:rPr>
          <w:rFonts w:ascii="Arial" w:cs="Arial" w:eastAsia="Arial" w:hAnsi="Arial"/>
          <w:sz w:val="24"/>
          <w:szCs w:val="24"/>
        </w:rPr>
        <w:t xml:space="preserve">10. Саипов Айбек Сатыбекович;</w:t>
      </w:r>
    </w:p>
    <w:p>
      <w:pPr>
        <w:spacing w:after="120"/>
        <w:ind w:firstLine="567"/>
        <w:jc w:val="both"/>
      </w:pPr>
      <w:r>
        <w:rPr>
          <w:rFonts w:ascii="Arial" w:cs="Arial" w:eastAsia="Arial" w:hAnsi="Arial"/>
          <w:sz w:val="24"/>
          <w:szCs w:val="24"/>
        </w:rPr>
        <w:t xml:space="preserve">11. Нурбаева Гүлназ Абдулатиповна;</w:t>
      </w:r>
    </w:p>
    <w:p>
      <w:pPr>
        <w:spacing w:after="120"/>
        <w:ind w:firstLine="567"/>
        <w:jc w:val="both"/>
      </w:pPr>
      <w:r>
        <w:rPr>
          <w:rFonts w:ascii="Arial" w:cs="Arial" w:eastAsia="Arial" w:hAnsi="Arial"/>
          <w:sz w:val="24"/>
          <w:szCs w:val="24"/>
        </w:rPr>
        <w:t xml:space="preserve">12. Султанова Олмаскан Абдыкапаровна;</w:t>
      </w:r>
    </w:p>
    <w:p>
      <w:pPr>
        <w:spacing w:after="120"/>
        <w:ind w:firstLine="567"/>
        <w:jc w:val="both"/>
      </w:pPr>
      <w:r>
        <w:rPr>
          <w:rFonts w:ascii="Arial" w:cs="Arial" w:eastAsia="Arial" w:hAnsi="Arial"/>
          <w:sz w:val="24"/>
          <w:szCs w:val="24"/>
        </w:rPr>
        <w:t xml:space="preserve">13. Алтынбеков Айбек;</w:t>
      </w:r>
    </w:p>
    <w:p>
      <w:pPr>
        <w:spacing w:after="120"/>
        <w:ind w:firstLine="567"/>
        <w:jc w:val="both"/>
      </w:pPr>
      <w:r>
        <w:rPr>
          <w:rFonts w:ascii="Arial" w:cs="Arial" w:eastAsia="Arial" w:hAnsi="Arial"/>
          <w:sz w:val="24"/>
          <w:szCs w:val="24"/>
        </w:rPr>
        <w:t xml:space="preserve">14. Сыдыков Бактыбек Усенович.</w:t>
      </w:r>
    </w:p>
    <w:p>
      <w:pPr>
        <w:spacing w:after="120"/>
        <w:ind w:firstLine="567"/>
        <w:jc w:val="both"/>
      </w:pPr>
      <w:r>
        <w:rPr>
          <w:rFonts w:ascii="Arial" w:cs="Arial" w:eastAsia="Arial" w:hAnsi="Arial"/>
          <w:sz w:val="24"/>
          <w:szCs w:val="24"/>
        </w:rPr>
        <w:t xml:space="preserve">Решением окружной избирательной комиссии № 13 от 1 декабря 2025 года № 5, в соответствии с пунктом 1 части 4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(далее - конституционный Закон), на избирательном участке № 2410 итоги голосования были аннулированы.</w:t>
      </w:r>
    </w:p>
    <w:p>
      <w:pPr>
        <w:spacing w:after="120"/>
        <w:ind w:firstLine="567"/>
        <w:jc w:val="both"/>
      </w:pPr>
      <w:r>
        <w:rPr>
          <w:rFonts w:ascii="Arial" w:cs="Arial" w:eastAsia="Arial" w:hAnsi="Arial"/>
          <w:sz w:val="24"/>
          <w:szCs w:val="24"/>
        </w:rPr>
        <w:t xml:space="preserve">2 декабря 2025 года в адрес Центральной избирательной комиссии поступили жалобы, заявления и обращения, а также в социальных сетях были распространены фото- и видеоматериалы, в которых указывалось на грубые нарушения избирательных прав граждан, допущенные кандидатами в депутаты Жогорку Кенеша Кыргызской Республики по многомандатному избирательному округу № 13 на ряде избирательных участков. Сообщалось о воздействии на волеизъявление избирателей и фактах подкупа голосов, что подтверждалось размещёнными в социальных сетях конкретными фото- и видео доказательствами.</w:t>
      </w:r>
    </w:p>
    <w:p>
      <w:pPr>
        <w:spacing w:after="120"/>
        <w:ind w:firstLine="567"/>
        <w:jc w:val="both"/>
      </w:pPr>
      <w:r>
        <w:rPr>
          <w:rFonts w:ascii="Arial" w:cs="Arial" w:eastAsia="Arial" w:hAnsi="Arial"/>
          <w:sz w:val="24"/>
          <w:szCs w:val="24"/>
        </w:rPr>
        <w:t xml:space="preserve">Указанные выше нарушения носили массовый и систематический характер и существенно повлияли на результаты выборов. Эти обстоятельства вызывают серьёзные сомнения в том, что итоги выборов отражают подлинное свободное, честное, открытое и безупречное волеизъявление, а также оказывают влияние на свободное выражение воли избирателей.</w:t>
      </w:r>
    </w:p>
    <w:p>
      <w:pPr>
        <w:spacing w:after="120"/>
        <w:ind w:firstLine="567"/>
        <w:jc w:val="both"/>
      </w:pPr>
      <w:r>
        <w:rPr>
          <w:rFonts w:ascii="Arial" w:cs="Arial" w:eastAsia="Arial" w:hAnsi="Arial"/>
          <w:sz w:val="24"/>
          <w:szCs w:val="24"/>
        </w:rPr>
        <w:t xml:space="preserve">Согласно части 2 </w:t>
      </w:r>
      <w:r>
        <w:rPr>
          <w:rFonts w:ascii="Arial" w:cs="Arial" w:eastAsia="Arial" w:hAnsi="Arial"/>
          <w:sz w:val="24"/>
          <w:szCs w:val="24"/>
        </w:rPr>
        <w:t xml:space="preserve">статьи 29</w:t>
      </w:r>
      <w:r>
        <w:rPr>
          <w:rFonts w:ascii="Arial" w:cs="Arial" w:eastAsia="Arial" w:hAnsi="Arial"/>
          <w:sz w:val="24"/>
          <w:szCs w:val="24"/>
        </w:rPr>
        <w:t xml:space="preserve"> конституционного Закона, "в помещении для голосования размещаются специально оборудованные кабины, оснащённые системой освещения и снабжённые письменными принадлежностями, мониторы, оборудование видеофиксации, иное необходимое оборудование, устройства идентификации с принтером и автоматически считывающие урны.".</w:t>
      </w:r>
    </w:p>
    <w:p>
      <w:pPr>
        <w:spacing w:after="120"/>
        <w:ind w:firstLine="567"/>
        <w:jc w:val="both"/>
      </w:pPr>
      <w:r>
        <w:rPr>
          <w:rFonts w:ascii="Arial" w:cs="Arial" w:eastAsia="Arial" w:hAnsi="Arial"/>
          <w:sz w:val="24"/>
          <w:szCs w:val="24"/>
        </w:rPr>
        <w:t xml:space="preserve">Для проверки поступивших жалоб и заявлений Центральная избирательная комиссия просмотрела видеозаписи с камер, установленных в день голосования на избирательных участках.</w:t>
      </w:r>
    </w:p>
    <w:p>
      <w:pPr>
        <w:spacing w:after="12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конституционному Закону</w:t>
      </w:r>
      <w:r>
        <w:rPr>
          <w:rFonts w:ascii="Arial" w:cs="Arial" w:eastAsia="Arial" w:hAnsi="Arial"/>
          <w:sz w:val="24"/>
          <w:szCs w:val="24"/>
        </w:rPr>
        <w:t xml:space="preserve">, наблюдатель кандидата вправе лично осуществлять фото-, видео- и аудиозапись с места, определённого председателем участковой избирательной комиссии, которое обеспечивает обзор и не препятствует работе комиссии, при этом не нарушая тайны голосования избирателей и не мешая ходу голосования и подведению его итогов.</w:t>
      </w:r>
    </w:p>
    <w:p>
      <w:pPr>
        <w:spacing w:after="120"/>
        <w:ind w:firstLine="567"/>
        <w:jc w:val="both"/>
      </w:pPr>
      <w:r>
        <w:rPr>
          <w:rFonts w:ascii="Arial" w:cs="Arial" w:eastAsia="Arial" w:hAnsi="Arial"/>
          <w:sz w:val="24"/>
          <w:szCs w:val="24"/>
        </w:rPr>
        <w:t xml:space="preserve">В результате проверки было установлено, что представители кандидатов, зарегистрированные в качестве наблюдателей на 35 избирательных участках, незаконно установили камеры в день голосования и осуществляли контроль за действиями избирателей при прохождении идентификации, при получении, заполнении и опускании бюллетеней в автоматически считывающие урны, во время процедуры голосования, что нарушало их волеизъявление и принцип тайны голосования.</w:t>
      </w:r>
    </w:p>
    <w:p>
      <w:pPr>
        <w:spacing w:after="120"/>
        <w:ind w:firstLine="567"/>
        <w:jc w:val="both"/>
      </w:pPr>
      <w:r>
        <w:rPr>
          <w:rFonts w:ascii="Arial" w:cs="Arial" w:eastAsia="Arial" w:hAnsi="Arial"/>
          <w:sz w:val="24"/>
          <w:szCs w:val="24"/>
        </w:rPr>
        <w:t xml:space="preserve">В соответствии со вторым абзацем части 5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"Под нарушениями, повлиявшими на волеизъявление избирателей, понимаются нарушения, повлиявшие на выражение воли избирателей в ходе голосования, подсчёта голосов или установления итогов голосования на избирательном участке, связанные с агитацией в день голосования, воспрепятствованием осуществлению избирательных прав гражданами, наблюдением за голосованием, голосованием за других избирателей, вмешательством в деятельность избирательных комиссий, подкупом избирателей.".</w:t>
      </w:r>
    </w:p>
    <w:p>
      <w:pPr>
        <w:spacing w:after="120"/>
        <w:ind w:firstLine="567"/>
        <w:jc w:val="both"/>
      </w:pPr>
      <w:r>
        <w:rPr>
          <w:rFonts w:ascii="Arial" w:cs="Arial" w:eastAsia="Arial" w:hAnsi="Arial"/>
          <w:sz w:val="24"/>
          <w:szCs w:val="24"/>
        </w:rPr>
        <w:t xml:space="preserve">Всего на 35 избирательных участках числилось 65016 избирателей, из которых в голосовании приняли участие 30260, что составляет 39,44% от общего количества избирателей, участвовавших в данном округе.</w:t>
      </w:r>
    </w:p>
    <w:p>
      <w:pPr>
        <w:spacing w:after="120"/>
        <w:ind w:firstLine="567"/>
        <w:jc w:val="both"/>
      </w:pPr>
      <w:r>
        <w:rPr>
          <w:rFonts w:ascii="Arial" w:cs="Arial" w:eastAsia="Arial" w:hAnsi="Arial"/>
          <w:sz w:val="24"/>
          <w:szCs w:val="24"/>
        </w:rPr>
        <w:t xml:space="preserve">В соответствии с частью 6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признаёт результаты выборов недействительными:</w:t>
      </w:r>
    </w:p>
    <w:p>
      <w:pPr>
        <w:spacing w:after="120"/>
        <w:ind w:firstLine="567"/>
        <w:jc w:val="both"/>
      </w:pPr>
      <w:r>
        <w:rPr>
          <w:rFonts w:ascii="Arial" w:cs="Arial" w:eastAsia="Arial" w:hAnsi="Arial"/>
          <w:sz w:val="24"/>
          <w:szCs w:val="24"/>
        </w:rPr>
        <w:t xml:space="preserve">"если итоги голосования на части избирательных участков, охватывающих более одной трети избирателей от общего числа, принявших участие в голосовании, признаны недействительными.".</w:t>
      </w:r>
    </w:p>
    <w:p>
      <w:pPr>
        <w:spacing w:after="120"/>
        <w:ind w:firstLine="567"/>
        <w:jc w:val="both"/>
      </w:pPr>
      <w:r>
        <w:rPr>
          <w:rFonts w:ascii="Arial" w:cs="Arial" w:eastAsia="Arial" w:hAnsi="Arial"/>
          <w:sz w:val="24"/>
          <w:szCs w:val="24"/>
        </w:rPr>
        <w:t xml:space="preserve">При этом согласно части 4-1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"Центральная избирательная комиссия вправе признать итоги голосования по кандидату (кандидатам) недействительными, если во время подготовки выборов, проведения голосования, подсчёта голосов или установления итогов голосования имели место нарушения со стороны кандидата (кандидатов), которые не позволяют с достоверностью установить итоги голосования или повлияли на волеизъявление избирателей.".</w:t>
      </w:r>
    </w:p>
    <w:p>
      <w:pPr>
        <w:spacing w:after="120"/>
        <w:ind w:firstLine="567"/>
        <w:jc w:val="both"/>
      </w:pPr>
      <w:r>
        <w:rPr>
          <w:rFonts w:ascii="Arial" w:cs="Arial" w:eastAsia="Arial" w:hAnsi="Arial"/>
          <w:sz w:val="24"/>
          <w:szCs w:val="24"/>
        </w:rPr>
        <w:t xml:space="preserve">На основании вышеизложенного Центральная избирательная комиссия считает, что на 35 избирательных участках были допущены нарушения, повлиявшие на волеизъявление избирателей; была нарушена тайна голосования, осуществлялся контроль на избирательных участках со стороны представителей кандидатов, оказывалось давление на работу избирательных комиссий, в связи с чем невозможно установить итоги голосования по многомандатному избирательному округу № 13.</w:t>
      </w:r>
    </w:p>
    <w:p>
      <w:pPr>
        <w:spacing w:after="120"/>
        <w:ind w:firstLine="567"/>
        <w:jc w:val="both"/>
      </w:pPr>
      <w:r>
        <w:rPr>
          <w:rFonts w:ascii="Arial" w:cs="Arial" w:eastAsia="Arial" w:hAnsi="Arial"/>
          <w:sz w:val="24"/>
          <w:szCs w:val="24"/>
        </w:rPr>
        <w:t xml:space="preserve">Согласно части 4 </w:t>
      </w:r>
      <w:r>
        <w:rPr>
          <w:rFonts w:ascii="Arial" w:cs="Arial" w:eastAsia="Arial" w:hAnsi="Arial"/>
          <w:sz w:val="24"/>
          <w:szCs w:val="24"/>
        </w:rPr>
        <w:t xml:space="preserve">статьи 2</w:t>
      </w:r>
      <w:r>
        <w:rPr>
          <w:rFonts w:ascii="Arial" w:cs="Arial" w:eastAsia="Arial" w:hAnsi="Arial"/>
          <w:sz w:val="24"/>
          <w:szCs w:val="24"/>
        </w:rPr>
        <w:t xml:space="preserve"> Конституции Кыргызской Республики, части 1 </w:t>
      </w:r>
      <w:r>
        <w:rPr>
          <w:rFonts w:ascii="Arial" w:cs="Arial" w:eastAsia="Arial" w:hAnsi="Arial"/>
          <w:sz w:val="24"/>
          <w:szCs w:val="24"/>
        </w:rPr>
        <w:t xml:space="preserve">статьи 2</w:t>
      </w:r>
      <w:r>
        <w:rPr>
          <w:rFonts w:ascii="Arial" w:cs="Arial" w:eastAsia="Arial" w:hAnsi="Arial"/>
          <w:sz w:val="24"/>
          <w:szCs w:val="24"/>
        </w:rPr>
        <w:t xml:space="preserve">, </w:t>
      </w:r>
      <w:r>
        <w:rPr>
          <w:rFonts w:ascii="Arial" w:cs="Arial" w:eastAsia="Arial" w:hAnsi="Arial"/>
          <w:sz w:val="24"/>
          <w:szCs w:val="24"/>
        </w:rPr>
        <w:t xml:space="preserve">статьи 37</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руководствуясь статьями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ind w:firstLine="567"/>
        <w:jc w:val="both"/>
      </w:pPr>
      <w:r>
        <w:rPr>
          <w:rFonts w:ascii="Arial" w:cs="Arial" w:eastAsia="Arial" w:hAnsi="Arial"/>
          <w:sz w:val="24"/>
          <w:szCs w:val="24"/>
        </w:rPr>
        <w:t xml:space="preserve">1. Признать недействительными итоги голосования на 35 избирательных участках, согласно </w:t>
      </w:r>
      <w:hyperlink w:history="1" r:id="rIdwlp8ljhl37_nnzitjpcs6">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Признать результаты досрочных выборов депутатов Жогорку Кенеша Кыргызской Республики по многомандатному избирательному округу № 13 недействительными.</w:t>
      </w:r>
    </w:p>
    <w:p>
      <w:pPr>
        <w:spacing w:after="120"/>
        <w:ind w:firstLine="567"/>
        <w:jc w:val="both"/>
      </w:pPr>
      <w:r>
        <w:rPr>
          <w:rFonts w:ascii="Arial" w:cs="Arial" w:eastAsia="Arial" w:hAnsi="Arial"/>
          <w:sz w:val="24"/>
          <w:szCs w:val="24"/>
        </w:rPr>
        <w:t xml:space="preserve">3. Установить, что в соответствии со </w:t>
      </w:r>
      <w:r>
        <w:rPr>
          <w:rFonts w:ascii="Arial" w:cs="Arial" w:eastAsia="Arial" w:hAnsi="Arial"/>
          <w:sz w:val="24"/>
          <w:szCs w:val="24"/>
        </w:rPr>
        <w:t xml:space="preserve">статьёй 37</w:t>
      </w:r>
      <w:r>
        <w:rPr>
          <w:rFonts w:ascii="Arial" w:cs="Arial" w:eastAsia="Arial" w:hAnsi="Arial"/>
          <w:sz w:val="24"/>
          <w:szCs w:val="24"/>
        </w:rPr>
        <w:t xml:space="preserve"> конституционного Закона следующие кандидаты не допускаются к повторным выборам депутатов Жогорку Кенеша Кыргызской Республики по многомандатному избирательному округу № 13:</w:t>
      </w:r>
    </w:p>
    <w:p>
      <w:pPr>
        <w:spacing w:after="120"/>
        <w:ind w:firstLine="567"/>
        <w:jc w:val="both"/>
      </w:pPr>
      <w:r>
        <w:rPr>
          <w:rFonts w:ascii="Arial" w:cs="Arial" w:eastAsia="Arial" w:hAnsi="Arial"/>
          <w:sz w:val="24"/>
          <w:szCs w:val="24"/>
        </w:rPr>
        <w:t xml:space="preserve">1) Нышанов Сайдулла Канболотович; </w:t>
      </w:r>
    </w:p>
    <w:p>
      <w:pPr>
        <w:spacing w:after="120"/>
        <w:ind w:firstLine="567"/>
        <w:jc w:val="both"/>
      </w:pPr>
      <w:r>
        <w:rPr>
          <w:rFonts w:ascii="Arial" w:cs="Arial" w:eastAsia="Arial" w:hAnsi="Arial"/>
          <w:sz w:val="24"/>
          <w:szCs w:val="24"/>
        </w:rPr>
        <w:t xml:space="preserve">2) Мамытов Талант Турдумаматович;</w:t>
      </w:r>
    </w:p>
    <w:p>
      <w:pPr>
        <w:spacing w:after="120"/>
        <w:ind w:firstLine="567"/>
        <w:jc w:val="both"/>
      </w:pPr>
      <w:r>
        <w:rPr>
          <w:rFonts w:ascii="Arial" w:cs="Arial" w:eastAsia="Arial" w:hAnsi="Arial"/>
          <w:sz w:val="24"/>
          <w:szCs w:val="24"/>
        </w:rPr>
        <w:t xml:space="preserve">3) Кенжебаев Нурланбек Исраилжанович;</w:t>
      </w:r>
    </w:p>
    <w:p>
      <w:pPr>
        <w:spacing w:after="120"/>
        <w:ind w:firstLine="567"/>
        <w:jc w:val="both"/>
      </w:pPr>
      <w:r>
        <w:rPr>
          <w:rFonts w:ascii="Arial" w:cs="Arial" w:eastAsia="Arial" w:hAnsi="Arial"/>
          <w:sz w:val="24"/>
          <w:szCs w:val="24"/>
        </w:rPr>
        <w:t xml:space="preserve">4) Курбаналиев Жаныбек Масабирович;</w:t>
      </w:r>
    </w:p>
    <w:p>
      <w:pPr>
        <w:spacing w:after="120"/>
        <w:ind w:firstLine="567"/>
        <w:jc w:val="both"/>
      </w:pPr>
      <w:r>
        <w:rPr>
          <w:rFonts w:ascii="Arial" w:cs="Arial" w:eastAsia="Arial" w:hAnsi="Arial"/>
          <w:sz w:val="24"/>
          <w:szCs w:val="24"/>
        </w:rPr>
        <w:t xml:space="preserve">5) Жээнбекова Гулназ Камытовна;</w:t>
      </w:r>
    </w:p>
    <w:p>
      <w:pPr>
        <w:spacing w:after="120"/>
        <w:ind w:firstLine="567"/>
        <w:jc w:val="both"/>
      </w:pPr>
      <w:r>
        <w:rPr>
          <w:rFonts w:ascii="Arial" w:cs="Arial" w:eastAsia="Arial" w:hAnsi="Arial"/>
          <w:sz w:val="24"/>
          <w:szCs w:val="24"/>
        </w:rPr>
        <w:t xml:space="preserve">6) Маматалиева Мунара Даниярбековна;</w:t>
      </w:r>
    </w:p>
    <w:p>
      <w:pPr>
        <w:spacing w:after="120"/>
        <w:ind w:firstLine="567"/>
        <w:jc w:val="both"/>
      </w:pPr>
      <w:r>
        <w:rPr>
          <w:rFonts w:ascii="Arial" w:cs="Arial" w:eastAsia="Arial" w:hAnsi="Arial"/>
          <w:sz w:val="24"/>
          <w:szCs w:val="24"/>
        </w:rPr>
        <w:t xml:space="preserve">7) Джураева Чинара Муратовна;</w:t>
      </w:r>
    </w:p>
    <w:p>
      <w:pPr>
        <w:spacing w:after="120"/>
        <w:ind w:firstLine="567"/>
        <w:jc w:val="both"/>
      </w:pPr>
      <w:r>
        <w:rPr>
          <w:rFonts w:ascii="Arial" w:cs="Arial" w:eastAsia="Arial" w:hAnsi="Arial"/>
          <w:sz w:val="24"/>
          <w:szCs w:val="24"/>
        </w:rPr>
        <w:t xml:space="preserve">8) Абдалиев Мейкинбек Акимович;</w:t>
      </w:r>
    </w:p>
    <w:p>
      <w:pPr>
        <w:spacing w:after="120"/>
        <w:ind w:firstLine="567"/>
        <w:jc w:val="both"/>
      </w:pPr>
      <w:r>
        <w:rPr>
          <w:rFonts w:ascii="Arial" w:cs="Arial" w:eastAsia="Arial" w:hAnsi="Arial"/>
          <w:sz w:val="24"/>
          <w:szCs w:val="24"/>
        </w:rPr>
        <w:t xml:space="preserve">9) Карабекова Айгүл Асановна;</w:t>
      </w:r>
    </w:p>
    <w:p>
      <w:pPr>
        <w:spacing w:after="120"/>
        <w:ind w:firstLine="567"/>
        <w:jc w:val="both"/>
      </w:pPr>
      <w:r>
        <w:rPr>
          <w:rFonts w:ascii="Arial" w:cs="Arial" w:eastAsia="Arial" w:hAnsi="Arial"/>
          <w:sz w:val="24"/>
          <w:szCs w:val="24"/>
        </w:rPr>
        <w:t xml:space="preserve">10) Саипов Айбек Сатыбекович;</w:t>
      </w:r>
    </w:p>
    <w:p>
      <w:pPr>
        <w:spacing w:after="120"/>
        <w:ind w:firstLine="567"/>
        <w:jc w:val="both"/>
      </w:pPr>
      <w:r>
        <w:rPr>
          <w:rFonts w:ascii="Arial" w:cs="Arial" w:eastAsia="Arial" w:hAnsi="Arial"/>
          <w:sz w:val="24"/>
          <w:szCs w:val="24"/>
        </w:rPr>
        <w:t xml:space="preserve">11) Нурбаева Гүлназ Абдулатиповна;</w:t>
      </w:r>
    </w:p>
    <w:p>
      <w:pPr>
        <w:spacing w:after="120"/>
        <w:ind w:firstLine="567"/>
        <w:jc w:val="both"/>
      </w:pPr>
      <w:r>
        <w:rPr>
          <w:rFonts w:ascii="Arial" w:cs="Arial" w:eastAsia="Arial" w:hAnsi="Arial"/>
          <w:sz w:val="24"/>
          <w:szCs w:val="24"/>
        </w:rPr>
        <w:t xml:space="preserve">12) Султанова Олмаскан Абдыкапаровна;</w:t>
      </w:r>
    </w:p>
    <w:p>
      <w:pPr>
        <w:spacing w:after="120"/>
        <w:ind w:firstLine="567"/>
        <w:jc w:val="both"/>
      </w:pPr>
      <w:r>
        <w:rPr>
          <w:rFonts w:ascii="Arial" w:cs="Arial" w:eastAsia="Arial" w:hAnsi="Arial"/>
          <w:sz w:val="24"/>
          <w:szCs w:val="24"/>
        </w:rPr>
        <w:t xml:space="preserve">13) Алтынбеков Айбек;</w:t>
      </w:r>
    </w:p>
    <w:p>
      <w:pPr>
        <w:spacing w:after="120"/>
        <w:ind w:firstLine="567"/>
        <w:jc w:val="both"/>
      </w:pPr>
      <w:r>
        <w:rPr>
          <w:rFonts w:ascii="Arial" w:cs="Arial" w:eastAsia="Arial" w:hAnsi="Arial"/>
          <w:sz w:val="24"/>
          <w:szCs w:val="24"/>
        </w:rPr>
        <w:t xml:space="preserve">14) Сыдыков Бактыбек Усенович.</w:t>
      </w:r>
    </w:p>
    <w:p>
      <w:pPr>
        <w:spacing w:after="120"/>
        <w:ind w:firstLine="567"/>
        <w:jc w:val="both"/>
      </w:pPr>
      <w:r>
        <w:rPr>
          <w:rFonts w:ascii="Arial" w:cs="Arial" w:eastAsia="Arial" w:hAnsi="Arial"/>
          <w:sz w:val="24"/>
          <w:szCs w:val="24"/>
        </w:rPr>
        <w:t xml:space="preserve">4. Настоящее постановление опубликовать в государственной официальной газете Кыргызской Республики "Эркин-Тоо" и на официальном сайте Центральной комиссии по выборам и проведению референдумов Кыргызской Республики.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А.С.Жупуеву.</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Т.Шайназаров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3 декабря 2025 года № 161</w:t>
      </w:r>
    </w:p>
    <w:p>
      <w:pPr>
        <w:spacing w:after="240" w:before="200"/>
        <w:jc w:val="center"/>
      </w:pPr>
      <w:r>
        <w:rPr>
          <w:rFonts w:ascii="Arial" w:cs="Arial" w:eastAsia="Arial" w:hAnsi="Arial"/>
          <w:b/>
          <w:bCs/>
          <w:sz w:val="32"/>
          <w:szCs w:val="32"/>
        </w:rPr>
        <w:t xml:space="preserve">№ 13 избирательный округ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4"/>
        <w:gridCol w:w="2229"/>
        <w:gridCol w:w="2731"/>
        <w:gridCol w:w="4804"/>
      </w:tblGrid>
      <w:tr>
        <w:tc>
          <w:tcPr>
            <w:tcW w:type="dxa" w:w="4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2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УИК</w:t>
            </w:r>
          </w:p>
        </w:tc>
        <w:tc>
          <w:tcPr>
            <w:tcW w:type="dxa" w:w="27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избирателей</w:t>
            </w:r>
          </w:p>
        </w:tc>
        <w:tc>
          <w:tcPr>
            <w:tcW w:type="dxa" w:w="4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Кол-во принявших участие в голосовании (согласно АСУ)</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 округе: 94 УИКов</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160344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76721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35 УИКов</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65016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30260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Базар-Коргонская ТИК</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2209</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1951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929</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Майлуу-Сууйская ТИК</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2483</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838</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2212</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2215</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1703</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Ноокенская ТИК</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1679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2169</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1380</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2172</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2283</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1130</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2175</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2177</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873</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2441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1255</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2182</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1268</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976</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2184</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459</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2185</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821</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2186</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2549</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2187</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2390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2188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1123</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2191</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2740</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1102</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2193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2898</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837</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2389</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885</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2410</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836</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424</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2418</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602</w:t>
            </w:r>
          </w:p>
        </w:tc>
      </w:tr>
      <w:tr>
        <w:tc>
          <w:tcPr>
            <w:tcW w:type="dxa" w:w="4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2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2453</w:t>
            </w:r>
          </w:p>
        </w:tc>
        <w:tc>
          <w:tcPr>
            <w:tcW w:type="dxa" w:w="2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1724</w:t>
            </w:r>
          </w:p>
        </w:tc>
        <w:tc>
          <w:tcPr>
            <w:tcW w:type="dxa" w:w="4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744</w:t>
            </w:r>
          </w:p>
        </w:tc>
      </w:tr>
    </w:tbl>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0rteocseoxnrxjg_xigo">
      <w:r>
        <w:rPr>
          <w:rFonts w:ascii="Arial" w:cs="Arial" w:eastAsia="Arial" w:hAnsi="Arial"/>
          <w:color w:val="132D3F"/>
          <w:sz w:val="16"/>
          <w:szCs w:val="16"/>
          <w:u w:val="single"/>
        </w:rPr>
        <w:t xml:space="preserve">dalil.kg/document/230039015</w:t>
      </w:r>
    </w:hyperlink>
  </w:p>
  <w:p>
    <w:pPr>
      <w:spacing w:after="0" w:before="40"/>
      <w:jc w:val="center"/>
    </w:pPr>
    <w:hyperlink w:history="1" r:id="rIdraigiiopbtoaqn4vh8c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lp8ljhl37_nnzitjpcs6" Type="http://schemas.openxmlformats.org/officeDocument/2006/relationships/hyperlink" Target="https://dalil.kg/document/230039015#pr"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0rteocseoxnrxjg_xigo" Type="http://schemas.openxmlformats.org/officeDocument/2006/relationships/hyperlink" Target="https://dalil.kg/document/230039015" TargetMode="External"/><Relationship Id="rIdraigiiopbtoaqn4vh8c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2026-09-27T06:04:06.866Z</dcterms:created>
  <dcterms:modified xsi:type="dcterms:W3CDTF">2026-09-27T06:04:06.866Z</dcterms:modified>
</cp:coreProperties>
</file>

<file path=docProps/custom.xml><?xml version="1.0" encoding="utf-8"?>
<Properties xmlns="http://schemas.openxmlformats.org/officeDocument/2006/custom-properties" xmlns:vt="http://schemas.openxmlformats.org/officeDocument/2006/docPropsVTypes"/>
</file>