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1176-т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системы обязательного медицинского страхования граждан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обеспечения </w:t>
      </w:r>
      <w:r>
        <w:rPr>
          <w:rFonts w:ascii="Arial" w:cs="Arial" w:eastAsia="Arial" w:hAnsi="Arial"/>
          <w:sz w:val="24"/>
          <w:szCs w:val="24"/>
        </w:rPr>
        <w:t xml:space="preserve">доступа к качественным медицинским услуг</w:t>
      </w:r>
      <w:r>
        <w:rPr>
          <w:rFonts w:ascii="Arial" w:cs="Arial" w:eastAsia="Arial" w:hAnsi="Arial"/>
          <w:sz w:val="24"/>
          <w:szCs w:val="24"/>
        </w:rPr>
        <w:t xml:space="preserve">ам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qa6ed3t-s_p4akzd8eh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ohyrv6zlb-cz5up15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Дорожную карту по совершенствованию системы обязательного медицинского страхования на 2026</w:t>
      </w:r>
      <w:r>
        <w:rPr>
          <w:rFonts w:ascii="Arial" w:cs="Arial" w:eastAsia="Arial" w:hAnsi="Arial"/>
          <w:sz w:val="24"/>
          <w:szCs w:val="24"/>
        </w:rPr>
        <w:t xml:space="preserve">–2028</w:t>
      </w:r>
      <w:r>
        <w:rPr>
          <w:rFonts w:ascii="Arial" w:cs="Arial" w:eastAsia="Arial" w:hAnsi="Arial"/>
          <w:sz w:val="24"/>
          <w:szCs w:val="24"/>
        </w:rPr>
        <w:t xml:space="preserve"> год</w:t>
      </w:r>
      <w:r>
        <w:rPr>
          <w:rFonts w:ascii="Arial" w:cs="Arial" w:eastAsia="Arial" w:hAnsi="Arial"/>
          <w:sz w:val="24"/>
          <w:szCs w:val="24"/>
        </w:rPr>
        <w:t xml:space="preserve">ы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далее – Дорожная карта)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0roqrmn7xii0d6tngm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задействованным в реализации Дорожной карты: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конкретные меры по </w:t>
      </w:r>
      <w:r>
        <w:rPr>
          <w:rFonts w:ascii="Arial" w:cs="Arial" w:eastAsia="Arial" w:hAnsi="Arial"/>
          <w:sz w:val="24"/>
          <w:szCs w:val="24"/>
        </w:rPr>
        <w:t xml:space="preserve">выполнению Дорожной</w:t>
      </w:r>
      <w:r>
        <w:rPr>
          <w:rFonts w:ascii="Arial" w:cs="Arial" w:eastAsia="Arial" w:hAnsi="Arial"/>
          <w:sz w:val="24"/>
          <w:szCs w:val="24"/>
        </w:rPr>
        <w:t xml:space="preserve"> карты в установленные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ежеквартально не позднее 10 числа месяца, следующего за отчетным периодом, представлять в Фонд обязательного медицинского страхования при Министерстве здравоохранения Кыргызской Республики информацию о выполнении</w:t>
      </w:r>
      <w:r>
        <w:rPr>
          <w:rFonts w:ascii="Arial" w:cs="Arial" w:eastAsia="Arial" w:hAnsi="Arial"/>
          <w:sz w:val="24"/>
          <w:szCs w:val="24"/>
        </w:rPr>
        <w:t xml:space="preserve">Дорожной</w:t>
      </w:r>
      <w:r>
        <w:rPr>
          <w:rFonts w:ascii="Arial" w:cs="Arial" w:eastAsia="Arial" w:hAnsi="Arial"/>
          <w:sz w:val="24"/>
          <w:szCs w:val="24"/>
        </w:rPr>
        <w:t xml:space="preserve"> карты.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Фонду обязательного медицинского страхования при Министерстве здравоохранения Кыргызской Республики по итогам каждого полугодия, не позднее 25 июля и 25 января, представлять в Администрацию Президента Кыргызской Республики обобщенный отчет о ходе выполнения Дорожной карты.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мероприятий, указанных в Дорожной карте, осуществляется за счет средств задействованных государственных органов и иных источников,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m7qhinvla2p2f8p20s8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450-р.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ДОРОЖНАЯ КАРТА
 по совершенствованию системы обязательного медицинского страхования на 2026-2028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7"/>
        <w:gridCol w:w="2384"/>
        <w:gridCol w:w="1992"/>
        <w:gridCol w:w="811"/>
        <w:gridCol w:w="1997"/>
        <w:gridCol w:w="1439"/>
        <w:gridCol w:w="1318"/>
      </w:tblGrid>
      <w:tr>
        <w:tc>
          <w:tcPr>
            <w:tcW w:type="dxa" w:w="2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Создание благоприятных условий для устойчивого охвата обязательным медицинским страхованием</w:t>
            </w:r>
          </w:p>
        </w:tc>
      </w:tr>
      <w:tr>
        <w:tc>
          <w:tcPr>
            <w:tcW w:type="dxa" w:w="2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охвата обязательным медицинским страхованием незастрахованных категорий граждан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реализацию полиса ОМС</w:t>
            </w:r>
          </w:p>
        </w:tc>
        <w:tc>
          <w:tcPr>
            <w:tcW w:type="dxa" w:w="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в Кыргызской Республике обеспечены медицинским страхованием: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77% (2026 год),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80% (2027 год),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85% (2028 год)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  <w:tc>
          <w:tcPr>
            <w:tcW w:type="dxa" w:w="1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охват обязательным медицинским страхованием иностранных граждан, обучающихся в образовательных организациях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охват обязательным медицинским страхованием иностранных граждан, обучающихся в образовательных организациях Кыргызской Республики, до 95%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МНВОИ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механизма учета и присвоения статуса застрахованного лица по обязательному медицинскому страхованию иностранным гражданам, приобретающим патент на территории Кыргызской Республики, с целью их включения в систему ОМС и обеспечения устойчивого межведомственного обмена данными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основы для учета иностранных граждан, приобретающих патент, и присвоения им статуса застрахованного лица</w:t>
            </w:r>
          </w:p>
        </w:tc>
        <w:tc>
          <w:tcPr>
            <w:tcW w:type="dxa" w:w="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9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включение иностранных граждан в систему ОМС и повышение уровня охвата медицинским страхованием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ГНС, СФ, МТСОМ, МЦРИТ, МЭК, МЗ</w:t>
            </w:r>
          </w:p>
        </w:tc>
        <w:tc>
          <w:tcPr>
            <w:tcW w:type="dxa" w:w="1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механизм межведомственного электронного обмена данными между ФОМС и другими заинтересованными государственными органами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Программы государственных гарантий по обеспечению граждан медико-санитарной помощью с переориентацией на социально-уязвимые категории граждан и застрахованных лиц по ОМС для получения медицинских, профилактических и фармацевтических услуг по принципу страхования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4i_ys4ntcivxlljotkj0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b_dwd7tbgbdccsm_hfh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помощью" от 21 сентября 2023 года № 493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поэтапное внедрение медицинских, профилактических и фармацевтических услуг для населения на среднесрочную перспективу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МЗ, ФОМС</w:t>
            </w:r>
          </w:p>
        </w:tc>
      </w:tr>
      <w:tr>
        <w:tc>
          <w:tcPr>
            <w:tcW w:type="dxa" w:w="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Поэтапный пересмотр размера расчетного показателя страхового взноса на обязательное медицинское страхование за социально-уязвимые категории населения с учетом финансовых возможностей республиканского бюджета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годы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сбалансированность бюджета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МФ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бюджета ФОМС</w:t>
            </w:r>
          </w:p>
        </w:tc>
      </w:tr>
      <w:tr>
        <w:tc>
          <w:tcPr>
            <w:tcW w:type="dxa" w:w="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наличия полиса ОМС у спортсменов, участвующих в спортивных соревнованиях на территории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порядок самостоятельного приобретения спортсменами полиса ОМС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расширение охвата медицинским обязательным страхованием спортсменов, не имеющих полиса ОМС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ГАФКС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Обеспечение контроля качества медицинской помощи</w:t>
            </w:r>
          </w:p>
        </w:tc>
      </w:tr>
      <w:tr>
        <w:tc>
          <w:tcPr>
            <w:tcW w:type="dxa" w:w="2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оценки и экспертизы качества медицинских услуг с утверждением методического руководства для организаций здравоохранения первичной медико-санитарной помощи и стационаров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цифрового контроля качества медицинских услуг на основе цифровой медицинской карты пациента</w:t>
            </w:r>
          </w:p>
        </w:tc>
        <w:tc>
          <w:tcPr>
            <w:tcW w:type="dxa" w:w="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годы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качество и объективность оценки медицинских услуг, снижено влияние человеческого фактора, стандартизированы подходы и расширен охват организаций здравоохранения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задание для цифрового решения, позволяющего осуществлять цифровой контроль качества медицинских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решение введено в эксплуатацию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МЦРИТ, ОАО "Тундук"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ФОМС, средства доноров</w:t>
            </w:r>
          </w:p>
        </w:tc>
      </w:tr>
      <w:tr>
        <w:tc>
          <w:tcPr>
            <w:tcW w:type="dxa" w:w="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разработка принятия финансовых мер, применяемых в отношении организаций здравоохранения, работающих в системе единого плательщика, по итогам контроля качества предоставляемых медицинских услуг посредством ОМС с учетом всех установленных коэффициентов: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подушевого норматива в организации здравоохранения первичной медико-санитарной помощи;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базовой ставки пролеченного случая в стационаре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приказ Министерства здравоохранения Кыргызской Республики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принятия финансовых мер, применяемых в отношении организаций здравоохранения, работающих в системе единого плательщика, по итогам контроля качества предоставления медицинских услуг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Внедрение цифровых сервисов</w:t>
            </w:r>
          </w:p>
        </w:tc>
      </w:tr>
      <w:tr>
        <w:tc>
          <w:tcPr>
            <w:tcW w:type="dxa" w:w="2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информационной системы ФОМС с информационными системами Министерства цифрового развития и инновационных технологий Кыргызской Республики, Министерства просвещения Кыргызской Республики, Министерства науки, высшего образования и инноваций Кыргызской Республики, Министерства труда, социального обеспечения и миграции Кыргызской Республики, Социального фонда Кыргызской Республики при Кабинете Министров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соглашения о межведомственном электронном обмене данными</w:t>
            </w:r>
          </w:p>
        </w:tc>
        <w:tc>
          <w:tcPr>
            <w:tcW w:type="dxa" w:w="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годы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юридическая основа для электронного взаимодействия сторон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СФ, Минпросвещения, МНВОИ, МТСОМ, МЗ, МЦРИТ, ОАО "Тундук", МФ (для мониторинга и анализа)</w:t>
            </w:r>
          </w:p>
        </w:tc>
        <w:tc>
          <w:tcPr>
            <w:tcW w:type="dxa" w:w="1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Бюджеты задействованных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сервисы для обеспечения электронного взаимодействия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сервисы были опубликованы сторонами в системе межведомственного электронного взаимодействия "Тундук" и предоставлены соответствующие доступы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отслеживания, мониторинга, оценки и обеспечения отчетности поступающих взносов за ОМС со стороны плательщиков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задание личного кабинета для застрахованных лиц по ОМС</w:t>
            </w:r>
          </w:p>
        </w:tc>
        <w:tc>
          <w:tcPr>
            <w:tcW w:type="dxa" w:w="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годы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личный кабинет застрахованного лица по ОМС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СФ, МЦРИТ, ОАО "Тундук"</w:t>
            </w:r>
          </w:p>
        </w:tc>
        <w:tc>
          <w:tcPr>
            <w:tcW w:type="dxa" w:w="1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Бюджеты задействованных государственных органов,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личный кабинет для застрахованных лиц по ОМС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решение введено в эксплуатацию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"Тундук"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-bj-_b2-xjv121qhm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dalil.kg/document/230039137</w:t>
      </w:r>
    </w:hyperlink>
  </w:p>
  <w:p>
    <w:pPr>
      <w:spacing w:after="0" w:before="40"/>
      <w:jc w:val="center"/>
    </w:pPr>
    <w:hyperlink w:history="1" r:id="rIdfuc3xnr2q0p6zrkd05b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6ed3t-s_p4akzd8ehd1" Type="http://schemas.openxmlformats.org/officeDocument/2006/relationships/hyperlink" Target="https://dalil.kg/document/112301#st_13" TargetMode="External"/><Relationship Id="rIdmbohyrv6zlb-cz5up15k8" Type="http://schemas.openxmlformats.org/officeDocument/2006/relationships/hyperlink" Target="https://dalil.kg/document/112301#st_17" TargetMode="External"/><Relationship Id="rId0roqrmn7xii0d6tngmgod" Type="http://schemas.openxmlformats.org/officeDocument/2006/relationships/hyperlink" Target="https://dalil.kg/document/230039137#pr" TargetMode="External"/><Relationship Id="rIdm7qhinvla2p2f8p20s8vh" Type="http://schemas.openxmlformats.org/officeDocument/2006/relationships/hyperlink" Target="https://dalil.kg/document/219698" TargetMode="External"/><Relationship Id="rId4i_ys4ntcivxlljotkj08" Type="http://schemas.openxmlformats.org/officeDocument/2006/relationships/hyperlink" Target="https://dalil.kg/document/160439" TargetMode="External"/><Relationship Id="rIdb_dwd7tbgbdccsm_hfhey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-bj-_b2-xjv121qhmmx" Type="http://schemas.openxmlformats.org/officeDocument/2006/relationships/hyperlink" Target="https://dalil.kg/document/230039137" TargetMode="External"/><Relationship Id="rIdfuc3xnr2q0p6zrkd05b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2026-09-27T04:59:00.240Z</dcterms:created>
  <dcterms:modified xsi:type="dcterms:W3CDTF">2026-09-27T04:59:00.240Z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