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386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распределению высвобожденных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финансовых средств в рамках дебюрократизации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 государственной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финансовых средств в рамках дебюрократизации, в соответствии со статьями</w:t>
      </w:r>
      <w:hyperlink w:history="1" r:id="rId6pb2ba8vckyducezto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1pnuof8tin6gzxwc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средства, сэкономленные </w:t>
      </w:r>
      <w:r>
        <w:rPr>
          <w:rFonts w:ascii="Arial" w:cs="Arial" w:eastAsia="Arial" w:hAnsi="Arial"/>
          <w:sz w:val="24"/>
          <w:szCs w:val="24"/>
        </w:rPr>
        <w:t xml:space="preserve">в результате сокращения штатной численности (реорганизация и ликвидация учреждения) государственных органов</w:t>
      </w:r>
      <w:r>
        <w:rPr>
          <w:rFonts w:ascii="Arial" w:cs="Arial" w:eastAsia="Arial" w:hAnsi="Arial"/>
          <w:sz w:val="24"/>
          <w:szCs w:val="24"/>
        </w:rPr>
        <w:t xml:space="preserve"> в рамках осуществляемых </w:t>
      </w:r>
      <w:r>
        <w:rPr>
          <w:rFonts w:ascii="Arial" w:cs="Arial" w:eastAsia="Arial" w:hAnsi="Arial"/>
          <w:sz w:val="24"/>
          <w:szCs w:val="24"/>
        </w:rPr>
        <w:t xml:space="preserve">мероприятий по повышению эффективности и дебюрократизации системы государственной службы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направляются в первоочередном порядке </w:t>
      </w:r>
      <w:r>
        <w:rPr>
          <w:rFonts w:ascii="Arial" w:cs="Arial" w:eastAsia="Arial" w:hAnsi="Arial"/>
          <w:sz w:val="24"/>
          <w:szCs w:val="24"/>
        </w:rPr>
        <w:t xml:space="preserve">на компенсации высвобождаемым работникам в соответствии с трудовым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дополнительные расходы (текущие операционные расходы и расходы по операциям с нефинансовыми активами)</w:t>
      </w:r>
      <w:r>
        <w:rPr>
          <w:rFonts w:ascii="Arial" w:cs="Arial" w:eastAsia="Arial" w:hAnsi="Arial"/>
          <w:sz w:val="24"/>
          <w:szCs w:val="24"/>
        </w:rPr>
        <w:t xml:space="preserve">, остаток средств – на </w:t>
      </w:r>
      <w:r>
        <w:rPr>
          <w:rFonts w:ascii="Arial" w:cs="Arial" w:eastAsia="Arial" w:hAnsi="Arial"/>
          <w:sz w:val="24"/>
          <w:szCs w:val="24"/>
        </w:rPr>
        <w:t xml:space="preserve">осуществление поощрительных выплат, </w:t>
      </w:r>
      <w:r>
        <w:rPr>
          <w:rFonts w:ascii="Arial" w:cs="Arial" w:eastAsia="Arial" w:hAnsi="Arial"/>
          <w:sz w:val="24"/>
          <w:szCs w:val="24"/>
        </w:rPr>
        <w:t xml:space="preserve">ориентированных </w:t>
      </w:r>
      <w:r>
        <w:rPr>
          <w:rFonts w:ascii="Arial" w:cs="Arial" w:eastAsia="Arial" w:hAnsi="Arial"/>
          <w:sz w:val="24"/>
          <w:szCs w:val="24"/>
        </w:rPr>
        <w:t xml:space="preserve">на повышение эффективности исполнения служебных обязанностей работников центрального аппарата, подведомственных и территориальных подразделений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поощрительные </w:t>
      </w:r>
      <w:r>
        <w:rPr>
          <w:rFonts w:ascii="Arial" w:cs="Arial" w:eastAsia="Arial" w:hAnsi="Arial"/>
          <w:sz w:val="24"/>
          <w:szCs w:val="24"/>
        </w:rPr>
        <w:t xml:space="preserve">выплаты,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подпунктом настоящего пункта, </w:t>
      </w:r>
      <w:r>
        <w:rPr>
          <w:rFonts w:ascii="Arial" w:cs="Arial" w:eastAsia="Arial" w:hAnsi="Arial"/>
          <w:sz w:val="24"/>
          <w:szCs w:val="24"/>
        </w:rPr>
        <w:t xml:space="preserve">не учитываются при исчислении среднего заработка, </w:t>
      </w:r>
      <w:r>
        <w:rPr>
          <w:rFonts w:ascii="Arial" w:cs="Arial" w:eastAsia="Arial" w:hAnsi="Arial"/>
          <w:sz w:val="24"/>
          <w:szCs w:val="24"/>
        </w:rPr>
        <w:t xml:space="preserve">доплат и </w:t>
      </w:r>
      <w:r>
        <w:rPr>
          <w:rFonts w:ascii="Arial" w:cs="Arial" w:eastAsia="Arial" w:hAnsi="Arial"/>
          <w:sz w:val="24"/>
          <w:szCs w:val="24"/>
        </w:rPr>
        <w:t xml:space="preserve">надбавок за проживание и работу в условиях высокогорья и отдаленных труднодоступных зонах, отпусков, пособий и тринадцатой заработной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увеличения штатной численности государственных органов денежные средства, необходимые для покрытия дополнительных расходов, вытекающих из данного увеличения, в первую очередь покрываются за счет ранее высвобожденных финансовых средств в соответствии с подпунктом 1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upsbroyvshcbdnx3-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распределению высвобожденных финансовых средств в рамках дебюрократизации системы государственной службы Кыргызской Республики» от 24 июня 2025 года № 191.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</w:t>
      </w:r>
      <w:r>
        <w:rPr>
          <w:rFonts w:ascii="Arial" w:cs="Arial" w:eastAsia="Arial" w:hAnsi="Arial"/>
          <w:sz w:val="24"/>
          <w:szCs w:val="24"/>
        </w:rPr>
        <w:t xml:space="preserve">абинету Министров Кыргызской Республики предусматривать высвобожденные финансовые средства для государственных органов в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pgmn9ja3e5sumbvus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dalil.kg/document/230039207</w:t>
      </w:r>
    </w:hyperlink>
  </w:p>
  <w:p>
    <w:pPr>
      <w:spacing w:after="0" w:before="40"/>
      <w:jc w:val="center"/>
    </w:pPr>
    <w:hyperlink w:history="1" r:id="rId_mtijij741hn-ao1soq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b2ba8vckyduceztoxqr" Type="http://schemas.openxmlformats.org/officeDocument/2006/relationships/hyperlink" Target="https://dalil.kg/document/112213#st_66" TargetMode="External"/><Relationship Id="rId0e1pnuof8tin6gzxwcrkb" Type="http://schemas.openxmlformats.org/officeDocument/2006/relationships/hyperlink" Target="https://dalil.kg/document/112213#st_71" TargetMode="External"/><Relationship Id="rIdhupsbroyvshcbdnx3-hda" Type="http://schemas.openxmlformats.org/officeDocument/2006/relationships/hyperlink" Target="https://dalil.kg/document/230030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pgmn9ja3e5sumbvus6l" Type="http://schemas.openxmlformats.org/officeDocument/2006/relationships/hyperlink" Target="https://dalil.kg/document/230039207" TargetMode="External"/><Relationship Id="rId_mtijij741hn-ao1soq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2026-09-27T04:57:08.237Z</dcterms:created>
  <dcterms:modified xsi:type="dcterms:W3CDTF">2026-09-27T04:57:08.237Z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