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12-р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таможенного регулирования, в соответствии со статьями </w:t>
      </w:r>
      <w:hyperlink w:history="1" r:id="rId2pdhhoamuexshie4if5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pxgztibbmkhuchrx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-xshjz0qsxou6ncndz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июня 2021 года № 20-р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l5dqlyj-fc3xx_dluv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создания Центра обслуживания предпринимателей в Кыргызской Республике, утвержденном вышеуказанным распоряжением: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подпункта 2 пункта 8 слова «, и таможенных процедур»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7 изложить в следующей редакции: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«6. Функции государственных органов и иных организаций, задействованных на площадке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предприятие «Центр «единого окна» в сфере внешней торговли» при Государственной таможенной службе при Кабинете Министров Кыргызской Республики производит прием заявок на получение и выдачу разрешительных и иных документов для осуществления внешнеэкономической деятельности, а также </w:t>
      </w:r>
      <w:r>
        <w:rPr>
          <w:rFonts w:ascii="Arial" w:cs="Arial" w:eastAsia="Arial" w:hAnsi="Arial"/>
          <w:sz w:val="24"/>
          <w:szCs w:val="24"/>
        </w:rPr>
        <w:t xml:space="preserve">проводит </w:t>
      </w:r>
      <w:r>
        <w:rPr>
          <w:rFonts w:ascii="Arial" w:cs="Arial" w:eastAsia="Arial" w:hAnsi="Arial"/>
          <w:sz w:val="24"/>
          <w:szCs w:val="24"/>
        </w:rPr>
        <w:t xml:space="preserve">консультации по вопросам, относящимся к таможенной сфере, для направления в </w:t>
      </w:r>
      <w:r>
        <w:rPr>
          <w:rFonts w:ascii="Arial" w:cs="Arial" w:eastAsia="Arial" w:hAnsi="Arial"/>
          <w:sz w:val="24"/>
          <w:szCs w:val="24"/>
        </w:rPr>
        <w:t xml:space="preserve">колл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Государственной таможенной службы при Кабинете Министров Кыргызской Республики и (или) в таможенные органы.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Государственная налоговая служба при Кабинете Министров Кыргызской Республики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писем, заявлений,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регистрацию (перерегистрацию), учетную регистрацию, регистрацию прекращения деятельности налогоплательщика;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регистрацию и аннулирование регистрации налогоплательщиков по налогу на добавленную стоимость;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 отчетности по налогам, неналоговым платежам и страховым взносам;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регистрацию в «кабинете налогоплательщика» (для пользования налоговыми услугами в электронном варианте);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выдачу патентов и страховых полисов, электронных патентов и продление срока их действия;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регистрацию бланков строгой отчетности;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 документов для получения лицензии на оборот алкогольной продукции;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выдачу справок о налоговой регистрации, об отсутствии задолженности;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вопросам налогообложения страховых взносов, в том числе внедрения системы компонентов фискализации налоговых процедур, и другим вопросам.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драгоценных металлов при Министерстве финансов Кыргызской Республики осуществляет постановку предпринимателей на специальный учет.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регулирования и надзора за финансовым рынком при Министерстве экономики и коммерции Кыргызской Республики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выдачу и отказ в выдаче лицензий и (или) разрешений для осуществления деятельности на небанковском финансовом рынке;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консультационной помощи.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науки, высшего образования и инноваций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заявок на регистрацию товарного знака, знака обслуживания и регистрацию товарного знака и знака обслуживания;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консультаций по вопросам регистрации товарного знака и знака обслуживания.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здравоохранения Кыргызской Республики производит выдачу лицензий на осуществление: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частной медицинской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фармацевтической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юстиции Кыргызской Республики осуществляет государственную регистрацию, перерегистрацию и регистрацию прекращения деятельности юридических лиц, филиалов (представительств) (субъектов предпринимательской деятельности).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трудоустройства граждан за рубежом при Министерстве труда, социального обеспечения и миграции Кыргызской Республики осуществляет выдачу разрешения на право осуществления трудовой и предпринимательской деятельности иностранными гражданами, лицами без гражданства на территории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водного и наземного транспорта при Министерстве транспорта и коммуникаций Кыргызской Республики производит выдачу лицензий на осуществление грузовых и пассажирских перевозок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Торгово-промышленная палата Кыргызской Республики осуществляет экспертизу товаров и выдачу сертификатов происхождения товара.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уполномоченного лица по защите прав, свобод и законных интересов субъектов предпринимательской деятельности (далее – бизнес-омбудсмен) осуществляет принятие и рассмотрение жалоб от субъектов предпринимательской деятельности на действия (в том числе решения) или бездействие государственных органов, органов местного самоуправления, предприятий государственного сектора, а также их должностных лиц и направление рекомендаций и представлений в соответствующие государственные органы, органы местного самоуправления, предприятия государственного сектора.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Открытое акционерное общество микрокредитная компания «Фонд развития предпринимательства» осуществляет кредитование субъектов предпринимательства.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Открытое акционерное общество «Гарантийный фонд»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существляет консультирование по вопросам выдачи гарантий, необходимых для получения кредита.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Российско-Кыргызский Фонд развития осуществляет кредитование субъектов предпринимательства.».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Кабинете Министров Кыргызской Республики в установленном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распоряжения.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wqwx6ectqgqhg_max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dalil.kg/document/230039309</w:t>
      </w:r>
    </w:hyperlink>
  </w:p>
  <w:p>
    <w:pPr>
      <w:spacing w:after="0" w:before="40"/>
      <w:jc w:val="center"/>
    </w:pPr>
    <w:hyperlink w:history="1" r:id="rIdf7vh0v-7typo_zyrd-3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dhhoamuexshie4if50n" Type="http://schemas.openxmlformats.org/officeDocument/2006/relationships/hyperlink" Target="https://dalil.kg/document/112301#st_13" TargetMode="External"/><Relationship Id="rIdslpxgztibbmkhuchrxmaa" Type="http://schemas.openxmlformats.org/officeDocument/2006/relationships/hyperlink" Target="https://dalil.kg/document/112301#st_17" TargetMode="External"/><Relationship Id="rIdy-xshjz0qsxou6ncndz7r" Type="http://schemas.openxmlformats.org/officeDocument/2006/relationships/hyperlink" Target="https://dalil.kg/document/218535" TargetMode="External"/><Relationship Id="rId3l5dqlyj-fc3xx_dluvz0" Type="http://schemas.openxmlformats.org/officeDocument/2006/relationships/hyperlink" Target="https://dalil.kg/document/2185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wqwx6ectqgqhg_maxli" Type="http://schemas.openxmlformats.org/officeDocument/2006/relationships/hyperlink" Target="https://dalil.kg/document/230039309" TargetMode="External"/><Relationship Id="rIdf7vh0v-7typo_zyrd-3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2026-09-27T04:29:47.521Z</dcterms:created>
  <dcterms:modified xsi:type="dcterms:W3CDTF">2026-09-27T04:29:47.521Z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