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ЖАЙЫЛСКОГО АЙЫЛЬНОГО АЙМАКА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Созыв VIII, внеочередное заседание сессии № 12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2025 года № 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«Об уточнении и передвижении денежных средств по итогам 10 месяцев 2025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</w:t>
      </w:r>
      <w:hyperlink w:history="1" r:id="rIdg7i0zgjmc-rbs1uzug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Жайылский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 сзязи с перевыполнением доходной части бюджета по итогам 10 месяцев 2025 года внести увеличения в бюджетный счет, в доходную часть в сумме-1300,0 (один миллион триста тысяч) сом.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06"/>
        <w:gridCol w:w="1510"/>
        <w:gridCol w:w="2099"/>
        <w:gridCol w:w="916"/>
        <w:gridCol w:w="916"/>
        <w:gridCol w:w="916"/>
        <w:gridCol w:w="916"/>
      </w:tblGrid>
      <w:tr>
        <w:tc>
          <w:tcPr>
            <w:tcW w:type="dxa" w:w="29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налога</w:t>
            </w:r>
          </w:p>
        </w:tc>
        <w:tc>
          <w:tcPr>
            <w:tcW w:type="dxa" w:w="151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</w:t>
            </w:r>
          </w:p>
        </w:tc>
        <w:tc>
          <w:tcPr>
            <w:tcW w:type="dxa" w:w="20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тыс.сом</w:t>
            </w:r>
          </w:p>
        </w:tc>
        <w:tc>
          <w:tcPr>
            <w:tcW w:type="dxa" w:w="366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+1000,0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+1000,0</w:t>
            </w:r>
          </w:p>
        </w:tc>
      </w:tr>
      <w:tr>
        <w:tc>
          <w:tcPr>
            <w:tcW w:type="dxa" w:w="29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пунктах</w:t>
            </w:r>
          </w:p>
        </w:tc>
        <w:tc>
          <w:tcPr>
            <w:tcW w:type="dxa" w:w="15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+300,0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+300,0</w:t>
            </w:r>
          </w:p>
        </w:tc>
      </w:tr>
      <w:tr>
        <w:tc>
          <w:tcPr>
            <w:tcW w:type="dxa" w:w="441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0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+1300,0</w:t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+1300,0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 В связи с уточнением доходной части по итогам 10 месяцев 2025 года внести изменения в расходную часть в сумме -1300,0 ( один миллион триста) тыс.сом.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13"/>
        <w:gridCol w:w="1493"/>
        <w:gridCol w:w="2537"/>
        <w:gridCol w:w="1312"/>
        <w:gridCol w:w="906"/>
        <w:gridCol w:w="906"/>
        <w:gridCol w:w="906"/>
        <w:gridCol w:w="906"/>
      </w:tblGrid>
      <w:tr>
        <w:tc>
          <w:tcPr>
            <w:tcW w:type="dxa" w:w="12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4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расхода</w:t>
            </w:r>
          </w:p>
        </w:tc>
        <w:tc>
          <w:tcPr>
            <w:tcW w:type="dxa" w:w="25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type="dxa" w:w="13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3624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70222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22141100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Бензин, дизель и прочее топливо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продуктов питания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+300,0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+300,0</w:t>
            </w:r>
          </w:p>
        </w:tc>
      </w:tr>
      <w:tr>
        <w:tc>
          <w:tcPr>
            <w:tcW w:type="dxa" w:w="121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70629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22154900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Проч. расходы. проч усл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22211200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 на тек. рем. сооружен.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22221200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Проч.приоб.пред.и матер.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28231100</w:t>
            </w:r>
          </w:p>
        </w:tc>
        <w:tc>
          <w:tcPr>
            <w:tcW w:type="dxa" w:w="2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+400,0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0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13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+1000,0</w:t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+1000,0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 В связи с неисполнением доходной части бюджета по итогам 10 месяцев 2025 года внести уменьшения в спец. счет в доходную часть в сумме-550,0 (пятьсот пятьдесят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6"/>
        <w:gridCol w:w="1531"/>
        <w:gridCol w:w="2127"/>
        <w:gridCol w:w="894"/>
        <w:gridCol w:w="894"/>
        <w:gridCol w:w="894"/>
        <w:gridCol w:w="894"/>
      </w:tblGrid>
      <w:tr>
        <w:tc>
          <w:tcPr>
            <w:tcW w:type="dxa" w:w="294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налога</w:t>
            </w:r>
          </w:p>
        </w:tc>
        <w:tc>
          <w:tcPr>
            <w:tcW w:type="dxa" w:w="15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</w:t>
            </w:r>
          </w:p>
        </w:tc>
        <w:tc>
          <w:tcPr>
            <w:tcW w:type="dxa" w:w="21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тыс.сом</w:t>
            </w:r>
          </w:p>
        </w:tc>
        <w:tc>
          <w:tcPr>
            <w:tcW w:type="dxa" w:w="3576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29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оказание дополнительных услуг дошкольными и школьными учр.</w:t>
            </w:r>
          </w:p>
        </w:tc>
        <w:tc>
          <w:tcPr>
            <w:tcW w:type="dxa" w:w="15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14232400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-550,0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-550,0</w:t>
            </w:r>
          </w:p>
        </w:tc>
      </w:tr>
      <w:tr>
        <w:tc>
          <w:tcPr>
            <w:tcW w:type="dxa" w:w="447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2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+550,0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+550,0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2.2 В связи с уточнением доходной части по итогам 10 месяцев 2025 года внести уменьшения в расходную часть в сумме-550,0 (пятьсот пятьдесят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96"/>
        <w:gridCol w:w="1576"/>
        <w:gridCol w:w="2244"/>
        <w:gridCol w:w="1402"/>
        <w:gridCol w:w="915"/>
        <w:gridCol w:w="915"/>
        <w:gridCol w:w="915"/>
        <w:gridCol w:w="915"/>
      </w:tblGrid>
      <w:tr>
        <w:tc>
          <w:tcPr>
            <w:tcW w:type="dxa" w:w="12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157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Статья расхода</w:t>
            </w:r>
          </w:p>
        </w:tc>
        <w:tc>
          <w:tcPr>
            <w:tcW w:type="dxa" w:w="22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</w:t>
            </w:r>
          </w:p>
        </w:tc>
        <w:tc>
          <w:tcPr>
            <w:tcW w:type="dxa" w:w="14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36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по кварталам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2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70911</w:t>
            </w:r>
          </w:p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 ДОО “Жайыл-Ата”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продукты питания 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-300,0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-300,0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Учреждение ДОО “Колосок”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22181100</w:t>
            </w:r>
          </w:p>
        </w:tc>
        <w:tc>
          <w:tcPr>
            <w:tcW w:type="dxa" w:w="2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Приоб. продукты питания 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-250,0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-250,0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8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разделу:</w:t>
            </w:r>
          </w:p>
        </w:tc>
        <w:tc>
          <w:tcPr>
            <w:tcW w:type="dxa" w:w="14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-550,0</w:t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-550,0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1.1 В связи с перевыполнением доходной части бюджета по итогам 10 месяцев 2025 года: увеличить суммы по подоходному налогу на 1000,0 (один миллион) сом и по плате аренды за земли в населенных пунктах на 300,0 ( триста тыс.) сом. Итого- 1300,0 (один миллион триста) тыс.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1.2 </w:t>
      </w:r>
      <w:r>
        <w:rPr>
          <w:rFonts w:ascii="Arial" w:cs="Arial" w:eastAsia="Arial" w:hAnsi="Arial"/>
          <w:sz w:val="24"/>
          <w:szCs w:val="24"/>
        </w:rPr>
        <w:t xml:space="preserve">В связи с уточнением доходной части по итогам 10 месяцев 2025 года внести изменения в расходную часть, в сумме-1300,0 (один миллион триста тыс.) 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2.1 В связи с не выполнением доходной части спец. счета по итогам 10 месяцев 2025 года: уменьшить суммы по плате за оказание доп. услуг дошкольными и школьными учреждениями на 550,0 ( пятьсот пятьдесят тыс.) сом.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2.2 В связи с уточнением доходной части спец. счета по итогам 10 месяцев 2025 года внести уменьшения в расходную часть в сумме-550,0 (пятьсот пятьдесят) тыс.сом.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главу Жайылского айыл окмоту Дженбаевой Н.Е.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Жайылского</w:t>
      </w:r>
      <w:r>
        <w:rPr>
          <w:rFonts w:ascii="Arial" w:cs="Arial" w:eastAsia="Arial" w:hAnsi="Arial"/>
          <w:sz w:val="24"/>
          <w:szCs w:val="24"/>
        </w:rPr>
        <w:t xml:space="preserve">айылного 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Чолпонкулов К.К.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wkaklqbffchw-elij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dalil.kg/document/230039442</w:t>
      </w:r>
    </w:hyperlink>
  </w:p>
  <w:p>
    <w:pPr>
      <w:spacing w:after="0" w:before="40"/>
      <w:jc w:val="center"/>
    </w:pPr>
    <w:hyperlink w:history="1" r:id="rIdt7zywygxwzvibsjdl7b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i0zgjmc-rbs1uzugfxc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wkaklqbffchw-elijmn" Type="http://schemas.openxmlformats.org/officeDocument/2006/relationships/hyperlink" Target="https://dalil.kg/document/230039442" TargetMode="External"/><Relationship Id="rIdt7zywygxwzvibsjdl7b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2026-09-27T07:01:29.975Z</dcterms:created>
  <dcterms:modified xsi:type="dcterms:W3CDTF">2026-09-27T07:01:29.975Z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