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от 10 февраля 2026 года № 81</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предельной штатной численности, структуры и штатного расписания органов местного самоуправления </w:t>
      </w:r>
    </w:p>
    <w:p>
      <w:pPr>
        <w:spacing w:after="240" w:before="200"/>
        <w:jc w:val="center"/>
      </w:pPr>
      <w:r>
        <w:rPr>
          <w:rFonts w:ascii="Arial" w:cs="Arial" w:eastAsia="Arial" w:hAnsi="Arial"/>
          <w:b/>
          <w:bCs/>
          <w:sz w:val="28"/>
          <w:szCs w:val="28"/>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организации деятельности органов местного самоуправления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реализации распоряжений Президента Кыргызской Республики от 27 октября 2025 года № 38</w:t>
      </w:r>
      <w:r>
        <w:rPr>
          <w:rFonts w:ascii="Arial" w:cs="Arial" w:eastAsia="Arial" w:hAnsi="Arial"/>
          <w:sz w:val="24"/>
          <w:szCs w:val="24"/>
        </w:rPr>
        <w:t xml:space="preserve">3</w:t>
      </w:r>
      <w:r>
        <w:rPr>
          <w:rFonts w:ascii="Arial" w:cs="Arial" w:eastAsia="Arial" w:hAnsi="Arial"/>
          <w:sz w:val="24"/>
          <w:szCs w:val="24"/>
        </w:rPr>
        <w:t xml:space="preserve">, от 18 ноября 2025 года № 401, в соответствии </w:t>
      </w:r>
      <w:hyperlink w:history="1" r:id="rId9ebsnxgisokxzq5qvahgm">
        <w:r>
          <w:rPr>
            <w:rFonts w:ascii="Arial" w:cs="Arial" w:eastAsia="Arial" w:hAnsi="Arial"/>
            <w:color w:val="1D4ED8"/>
            <w:sz w:val="24"/>
            <w:szCs w:val="24"/>
            <w:u w:val="single"/>
          </w:rPr>
          <w:t xml:space="preserve">со статьей 1</w:t>
        </w:r>
      </w:hyperlink>
      <w:r>
        <w:rPr>
          <w:rFonts w:ascii="Arial" w:cs="Arial" w:eastAsia="Arial" w:hAnsi="Arial"/>
          <w:sz w:val="24"/>
          <w:szCs w:val="24"/>
        </w:rPr>
        <w:t xml:space="preserve"> Закона Кыргызской Республики «О предельной штатной численности и об условиях оплаты труда государственных и муниципальных служащих Кыргызской Республики», статьями </w:t>
      </w:r>
      <w:hyperlink w:history="1" r:id="rIddy1cgdmtxzzadgvblw5mu">
        <w:r>
          <w:rPr>
            <w:rFonts w:ascii="Arial" w:cs="Arial" w:eastAsia="Arial" w:hAnsi="Arial"/>
            <w:color w:val="1D4ED8"/>
            <w:sz w:val="24"/>
            <w:szCs w:val="24"/>
            <w:u w:val="single"/>
          </w:rPr>
          <w:t xml:space="preserve">38</w:t>
        </w:r>
      </w:hyperlink>
      <w:r>
        <w:rPr>
          <w:rFonts w:ascii="Arial" w:cs="Arial" w:eastAsia="Arial" w:hAnsi="Arial"/>
          <w:sz w:val="24"/>
          <w:szCs w:val="24"/>
        </w:rPr>
        <w:t xml:space="preserve">, </w:t>
      </w:r>
      <w:hyperlink w:history="1" r:id="rId14g11-isxdy3cvewqb9h6">
        <w:r>
          <w:rPr>
            <w:rFonts w:ascii="Arial" w:cs="Arial" w:eastAsia="Arial" w:hAnsi="Arial"/>
            <w:color w:val="1D4ED8"/>
            <w:sz w:val="24"/>
            <w:szCs w:val="24"/>
            <w:u w:val="single"/>
          </w:rPr>
          <w:t xml:space="preserve">43</w:t>
        </w:r>
      </w:hyperlink>
      <w:r>
        <w:rPr>
          <w:rFonts w:ascii="Arial" w:cs="Arial" w:eastAsia="Arial" w:hAnsi="Arial"/>
          <w:sz w:val="24"/>
          <w:szCs w:val="24"/>
        </w:rPr>
        <w:t xml:space="preserve"> и </w:t>
      </w:r>
      <w:hyperlink w:history="1" r:id="rIdtng5gntiumpfkyxoakcvq">
        <w:r>
          <w:rPr>
            <w:rFonts w:ascii="Arial" w:cs="Arial" w:eastAsia="Arial" w:hAnsi="Arial"/>
            <w:color w:val="1D4ED8"/>
            <w:sz w:val="24"/>
            <w:szCs w:val="24"/>
            <w:u w:val="single"/>
          </w:rPr>
          <w:t xml:space="preserve">50</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статьями </w:t>
      </w:r>
      <w:hyperlink w:history="1" r:id="rIdm-cfqhut5uvtc6bq66d6s">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kwnjk9uxawwz0vvv_wko">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Утвердить:</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предельную штатную численность айыл окмоту согласно </w:t>
      </w:r>
      <w:hyperlink w:history="1" r:id="rIdloh9uguuuk8qtrslqdnw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предельную штатную численность мэрий городов областного и районного значени</w:t>
      </w:r>
      <w:r>
        <w:rPr>
          <w:rFonts w:ascii="Arial" w:cs="Arial" w:eastAsia="Arial" w:hAnsi="Arial"/>
          <w:sz w:val="24"/>
          <w:szCs w:val="24"/>
        </w:rPr>
        <w:t xml:space="preserve">я</w:t>
      </w:r>
      <w:r>
        <w:rPr>
          <w:rFonts w:ascii="Arial" w:cs="Arial" w:eastAsia="Arial" w:hAnsi="Arial"/>
          <w:sz w:val="24"/>
          <w:szCs w:val="24"/>
        </w:rPr>
        <w:t xml:space="preserve"> согласно </w:t>
      </w:r>
      <w:hyperlink w:history="1" r:id="rIdb4m1no-z8z_n1cxsawj8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предельную штатную численность местных кенешей (городских кенешей городов областного и районного значения, айылных кенешей) согласно </w:t>
      </w:r>
      <w:hyperlink w:history="1" r:id="rIdeuiwwx5lpjynoexe_j_lw">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типовую структуру айыл окмоту согласно </w:t>
      </w:r>
      <w:hyperlink w:history="1" r:id="rIdmbr89rl3ghzriocngjsx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типовую структуру мэрий городов областного и районного значения согласно </w:t>
      </w:r>
      <w:hyperlink w:history="1" r:id="rIdrypaxyccwqf26-ghnqsdw">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типовую форму штатного расписания орган</w:t>
      </w:r>
      <w:r>
        <w:rPr>
          <w:rFonts w:ascii="Arial" w:cs="Arial" w:eastAsia="Arial" w:hAnsi="Arial"/>
          <w:sz w:val="24"/>
          <w:szCs w:val="24"/>
        </w:rPr>
        <w:t xml:space="preserve">а</w:t>
      </w:r>
      <w:r>
        <w:rPr>
          <w:rFonts w:ascii="Arial" w:cs="Arial" w:eastAsia="Arial" w:hAnsi="Arial"/>
          <w:sz w:val="24"/>
          <w:szCs w:val="24"/>
        </w:rPr>
        <w:t xml:space="preserve"> местного самоуправления согласно </w:t>
      </w:r>
      <w:hyperlink w:history="1" r:id="rIdelwlfq5fk7n9vvam2zq_d">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Установить, что:</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структура и штатное расписание айыл окмоту утверждаются главой айыл окмоту;</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структура и штатное расписание мэрий городов областного и районного значения утверждаются мэром;</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структура и штатное расписание городских кенешей городов областного и районного значения, а также айылных кенешей утверждаются председателем местных кенешей.</w:t>
      </w:r>
    </w:p>
    <w:p>
      <w:pPr>
        <w:spacing w:after="120"/>
        <w:ind w:firstLine="708"/>
        <w:jc w:val="both"/>
      </w:pPr>
      <w:r>
        <w:rPr>
          <w:rFonts w:ascii="Arial" w:cs="Arial" w:eastAsia="Arial" w:hAnsi="Arial"/>
          <w:sz w:val="24"/>
          <w:szCs w:val="24"/>
        </w:rPr>
        <w:t xml:space="preserve">3. Рекомендовать органам местного самоуправления Кыргызской Республики: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не осуществлять набор штатных работников за счет специальных средств или иных источников финансирования, за исключением предусмотренных настоящим постановлением и законодательством Кыргызской Республики;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в двухмесячный срок привести структуру и штатную численность, а также свои решения в соответствие с настоящим постановлением;</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принять иные меры, вытекающие из настоящего постановления</w:t>
      </w:r>
      <w:r>
        <w:rPr>
          <w:rFonts w:ascii="Arial" w:cs="Arial" w:eastAsia="Arial" w:hAnsi="Arial"/>
          <w:sz w:val="24"/>
          <w:szCs w:val="24"/>
        </w:rPr>
        <w:t xml:space="preserve">,</w:t>
      </w:r>
      <w:r>
        <w:rPr>
          <w:rFonts w:ascii="Arial" w:cs="Arial" w:eastAsia="Arial" w:hAnsi="Arial"/>
          <w:sz w:val="24"/>
          <w:szCs w:val="24"/>
        </w:rPr>
        <w:t xml:space="preserve">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Установить, что реализация настоящего постановления осуществляется в пределах средств, предусмотренных для органов местного самоуправления на соответствующий год и последующие годы.</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Признать утратившими силу:</w:t>
      </w:r>
    </w:p>
    <w:p>
      <w:pPr>
        <w:spacing w:after="120"/>
        <w:ind w:firstLine="708"/>
        <w:jc w:val="both"/>
      </w:pPr>
      <w:r>
        <w:rPr>
          <w:rFonts w:ascii="Arial" w:cs="Arial" w:eastAsia="Arial" w:hAnsi="Arial"/>
          <w:sz w:val="24"/>
          <w:szCs w:val="24"/>
        </w:rPr>
        <w:t xml:space="preserve">1) </w:t>
      </w:r>
      <w:hyperlink w:history="1" r:id="rIdfczg1lyjjajam7jkq6j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организации деятельности исполнительных органов местного самоуправления Кыргызской Республики в период проведения административно-территориальной реформы в пилотном режиме» от 7 февраля 2024 года № 52;</w:t>
      </w:r>
    </w:p>
    <w:p>
      <w:pPr>
        <w:spacing w:after="120"/>
        <w:ind w:firstLine="708"/>
        <w:jc w:val="both"/>
      </w:pPr>
      <w:r>
        <w:rPr>
          <w:rFonts w:ascii="Arial" w:cs="Arial" w:eastAsia="Arial" w:hAnsi="Arial"/>
          <w:sz w:val="24"/>
          <w:szCs w:val="24"/>
        </w:rPr>
        <w:t xml:space="preserve">2) </w:t>
      </w:r>
      <w:hyperlink w:history="1" r:id="rIdc1ddl1hz5lgl7-izvu-4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Кабинета Министров Кыргызской Республики «Об организации деятельности исполнительных органов местного самоуправления Кыргызской Республики в период проведения административно-территориальной реформы в пилотном режиме» от 7 февраля 2024 года № 52» от 23 апреля 2024 года № 192;</w:t>
      </w:r>
    </w:p>
    <w:p>
      <w:pPr>
        <w:spacing w:after="120"/>
        <w:ind w:firstLine="708"/>
        <w:jc w:val="both"/>
      </w:pPr>
      <w:r>
        <w:rPr>
          <w:rFonts w:ascii="Arial" w:cs="Arial" w:eastAsia="Arial" w:hAnsi="Arial"/>
          <w:sz w:val="24"/>
          <w:szCs w:val="24"/>
        </w:rPr>
        <w:t xml:space="preserve">3) </w:t>
      </w:r>
      <w:hyperlink w:history="1" r:id="rIdyat2odzhhacxmfbobe8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Кабинета Министров Кыргызской Республики «Об организации деятельности исполнительных органов местного самоуправления Кыргызской Республики в период проведения административно-территориальной реформы в пилотном режиме» от 7 февраля 2024 года № 52» от 28 мая 2024 года № 278;</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подпункт 1 пункта 4 </w:t>
      </w:r>
      <w:hyperlink w:history="1" r:id="rId274pnbjs0yk_la_awjdm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утверждении типовой структуры, предельной штатной численности, формы штатного расписания мэрий городов республиканского значения» от 16 июля 2025 года № 419</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пункт </w:t>
      </w:r>
      <w:r>
        <w:rPr>
          <w:rFonts w:ascii="Arial" w:cs="Arial" w:eastAsia="Arial" w:hAnsi="Arial"/>
          <w:sz w:val="24"/>
          <w:szCs w:val="24"/>
        </w:rPr>
        <w:t xml:space="preserve">3</w:t>
      </w:r>
      <w:hyperlink w:history="1" r:id="rIdhq4220c0gx9t7kzntfni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w:t>
      </w:r>
      <w:r>
        <w:rPr>
          <w:rFonts w:ascii="Arial" w:cs="Arial" w:eastAsia="Arial" w:hAnsi="Arial"/>
          <w:sz w:val="24"/>
          <w:szCs w:val="24"/>
        </w:rPr>
        <w:t xml:space="preserve">О </w:t>
      </w:r>
      <w:r>
        <w:rPr>
          <w:rFonts w:ascii="Arial" w:cs="Arial" w:eastAsia="Arial" w:hAnsi="Arial"/>
          <w:sz w:val="24"/>
          <w:szCs w:val="24"/>
        </w:rPr>
        <w:t xml:space="preserve">внесении изменений в некоторые постановления Кабинета Министров Кыргызской Республики, регулирующие деятельность Министерства финансов Кыргызской Республики и мэрий городов республиканского значения» от 18 </w:t>
      </w:r>
      <w:r>
        <w:rPr>
          <w:rFonts w:ascii="Arial" w:cs="Arial" w:eastAsia="Arial" w:hAnsi="Arial"/>
          <w:sz w:val="24"/>
          <w:szCs w:val="24"/>
        </w:rPr>
        <w:t xml:space="preserve">декабр</w:t>
      </w:r>
      <w:r>
        <w:rPr>
          <w:rFonts w:ascii="Arial" w:cs="Arial" w:eastAsia="Arial" w:hAnsi="Arial"/>
          <w:sz w:val="24"/>
          <w:szCs w:val="24"/>
        </w:rPr>
        <w:t xml:space="preserve">я 2025 года № </w:t>
      </w:r>
      <w:r>
        <w:rPr>
          <w:rFonts w:ascii="Arial" w:cs="Arial" w:eastAsia="Arial" w:hAnsi="Arial"/>
          <w:sz w:val="24"/>
          <w:szCs w:val="24"/>
        </w:rPr>
        <w:t xml:space="preserve">812;</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пункт </w:t>
      </w:r>
      <w:r>
        <w:rPr>
          <w:rFonts w:ascii="Arial" w:cs="Arial" w:eastAsia="Arial" w:hAnsi="Arial"/>
          <w:sz w:val="24"/>
          <w:szCs w:val="24"/>
        </w:rPr>
        <w:t xml:space="preserve">1</w:t>
      </w:r>
      <w:hyperlink w:history="1" r:id="rIds60kablnks31pyksel96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w:t>
      </w:r>
      <w:r>
        <w:rPr>
          <w:rFonts w:ascii="Arial" w:cs="Arial" w:eastAsia="Arial" w:hAnsi="Arial"/>
          <w:sz w:val="24"/>
          <w:szCs w:val="24"/>
        </w:rPr>
        <w:t xml:space="preserve">О внесении изменений в некоторые постановления Кабинета Министров Кыргызской Республики в сфере определения предельной штатной численности и формы штатного расписания городских кенешей городов республиканского значения</w:t>
      </w:r>
      <w:r>
        <w:rPr>
          <w:rFonts w:ascii="Arial" w:cs="Arial" w:eastAsia="Arial" w:hAnsi="Arial"/>
          <w:sz w:val="24"/>
          <w:szCs w:val="24"/>
        </w:rPr>
        <w:t xml:space="preserve">» от 30 </w:t>
      </w:r>
      <w:r>
        <w:rPr>
          <w:rFonts w:ascii="Arial" w:cs="Arial" w:eastAsia="Arial" w:hAnsi="Arial"/>
          <w:sz w:val="24"/>
          <w:szCs w:val="24"/>
        </w:rPr>
        <w:t xml:space="preserve">январ</w:t>
      </w:r>
      <w:r>
        <w:rPr>
          <w:rFonts w:ascii="Arial" w:cs="Arial" w:eastAsia="Arial" w:hAnsi="Arial"/>
          <w:sz w:val="24"/>
          <w:szCs w:val="24"/>
        </w:rPr>
        <w:t xml:space="preserve">я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41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8"/>
        <w:jc w:val="both"/>
      </w:pPr>
      <w:r>
        <w:rPr>
          <w:rFonts w:ascii="Arial" w:cs="Arial" w:eastAsia="Arial" w:hAnsi="Arial"/>
          <w:sz w:val="24"/>
          <w:szCs w:val="24"/>
        </w:rPr>
        <w:t xml:space="preserve">7. Настоящее постановление вступает в силу по истечении </w:t>
      </w:r>
      <w:r>
        <w:rPr>
          <w:rFonts w:ascii="Arial" w:cs="Arial" w:eastAsia="Arial" w:hAnsi="Arial"/>
          <w:sz w:val="24"/>
          <w:szCs w:val="24"/>
        </w:rPr>
        <w:t xml:space="preserve">семи</w:t>
      </w:r>
      <w:r>
        <w:rPr>
          <w:rFonts w:ascii="Arial" w:cs="Arial" w:eastAsia="Arial" w:hAnsi="Arial"/>
          <w:sz w:val="24"/>
          <w:szCs w:val="24"/>
        </w:rPr>
        <w:t xml:space="preserve"> дней со дня официального опубликования</w:t>
      </w:r>
      <w:r>
        <w:rPr>
          <w:rFonts w:ascii="Arial" w:cs="Arial" w:eastAsia="Arial" w:hAnsi="Arial"/>
          <w:sz w:val="24"/>
          <w:szCs w:val="24"/>
        </w:rPr>
        <w:t xml:space="preserve">.</w:t>
      </w:r>
    </w:p>
    <w:p>
      <w:pPr>
        <w:spacing w:after="120"/>
        <w:ind w:firstLine="708"/>
        <w:jc w:val="both"/>
      </w:pPr>
      <w:r>
        <w:rPr>
          <w:rFonts w:ascii="Arial" w:cs="Arial" w:eastAsia="Arial" w:hAnsi="Arial"/>
          <w:i/>
          <w:iCs/>
          <w:sz w:val="24"/>
          <w:szCs w:val="24"/>
        </w:rPr>
        <w:t xml:space="preserve">Опубликован в официальной государственной газете "Эркин-Тоо" от 13 февраля 2026 года № 10 (3770)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Предельная штатная численность айыл окмоту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8"/>
        <w:gridCol w:w="2038"/>
        <w:gridCol w:w="2034"/>
        <w:gridCol w:w="2034"/>
        <w:gridCol w:w="2034"/>
      </w:tblGrid>
      <w:tr>
        <w:tc>
          <w:tcPr>
            <w:tcW w:type="dxa" w:w="203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0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610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Штатная численность соответственно численности населения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10000 человек</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10001 до 25000 человек</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свыше 25001 человека</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айыл окмоту</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07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и младший обслуживающий персонал</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07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1. Исходя из целесообразности, потребностей, целей, задач, специфики и численности населения айылного аймака, айыл окмоту, помимо общей численности штата, на контрактной основе могут принимать дополнительные штатные единицы: с численностью населения до 10000 человек - до 4 сотрудников; с численностью населения от 10001 до 25000 человек - до 6 сотрудников; от 25001 и свыше - до 8 сотрудников.</w:t>
      </w:r>
    </w:p>
    <w:p>
      <w:pPr>
        <w:spacing w:after="120"/>
        <w:ind w:firstLine="567"/>
        <w:jc w:val="both"/>
      </w:pPr>
      <w:r>
        <w:rPr>
          <w:rFonts w:ascii="Arial" w:cs="Arial" w:eastAsia="Arial" w:hAnsi="Arial"/>
          <w:sz w:val="24"/>
          <w:szCs w:val="24"/>
        </w:rPr>
        <w:t xml:space="preserve">2. Государственные полномочия могут быть делегированы айыл окмоту на контрактной основе сверх предусмотренных единиц, указанных в пункте 1 примечания.</w:t>
      </w:r>
    </w:p>
    <w:p>
      <w:pPr>
        <w:spacing w:after="120"/>
        <w:ind w:firstLine="567"/>
        <w:jc w:val="both"/>
      </w:pPr>
      <w:r>
        <w:rPr>
          <w:rFonts w:ascii="Arial" w:cs="Arial" w:eastAsia="Arial" w:hAnsi="Arial"/>
          <w:sz w:val="24"/>
          <w:szCs w:val="24"/>
        </w:rPr>
        <w:t xml:space="preserve">3. В населенном пункте, имеющем статус села, за исключением населенного пункта, являющегося административным центром айылного аймака, может быть предусмотрена должность айыл башчы на контрактной основе при наличии финансового обеспечения указанной должности за счет средств местного бюджета.</w:t>
      </w:r>
    </w:p>
    <w:p>
      <w:pPr>
        <w:spacing w:after="120"/>
        <w:ind w:firstLine="567"/>
        <w:jc w:val="both"/>
      </w:pPr>
      <w:r>
        <w:rPr>
          <w:rFonts w:ascii="Arial" w:cs="Arial" w:eastAsia="Arial" w:hAnsi="Arial"/>
          <w:sz w:val="24"/>
          <w:szCs w:val="24"/>
        </w:rPr>
        <w:t xml:space="preserve">4. В айыл окмоту с населением до 10 тысяч человек на заместителя главы айыл окмоту дополнительно возлагаются функции ответственного секретаря айыл окмоту.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Предельная штатная численность мэрий городов областного и районного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5"/>
        <w:gridCol w:w="1275"/>
        <w:gridCol w:w="1271"/>
        <w:gridCol w:w="1271"/>
        <w:gridCol w:w="1271"/>
        <w:gridCol w:w="1271"/>
        <w:gridCol w:w="1271"/>
        <w:gridCol w:w="1271"/>
      </w:tblGrid>
      <w:tr>
        <w:tc>
          <w:tcPr>
            <w:tcW w:type="dxa" w:w="12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762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Штатная численность соответственно численности населения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15000 человек</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15001 до 30000 человек</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30001 до 60000 человек</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60001 до 90000 человек</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90001 до 120000 человек</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свыше 120001 человека</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мэра</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5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(ответственные работники)</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и младший обслуживающий персонал</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5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(ответственные работники)</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1. Исходя из целесообразности, потребностей, целей, специфики и численности населения города, помимо общей численности штатных единиц мэрии, могут быть приняты дополнительные штатные единицы на контрактной основе с численностью населения до 15000 человек - до 3 сотрудников, от 15001 до 30000 человек - до 4 сотрудников, от 30001 до 90000 человек - до 5 сотрудников, от 90001 и свыше человек - до 6 сотрудников.</w:t>
      </w:r>
    </w:p>
    <w:p>
      <w:pPr>
        <w:spacing w:after="120"/>
        <w:ind w:firstLine="567"/>
        <w:jc w:val="both"/>
      </w:pPr>
      <w:r>
        <w:rPr>
          <w:rFonts w:ascii="Arial" w:cs="Arial" w:eastAsia="Arial" w:hAnsi="Arial"/>
          <w:sz w:val="24"/>
          <w:szCs w:val="24"/>
        </w:rPr>
        <w:t xml:space="preserve">2. Государственные полномочия могут быть делегированы мэриям городов на контрактной основе сверх предусмотренных единиц в пункте 1 примечания.</w:t>
      </w:r>
    </w:p>
    <w:p>
      <w:pPr>
        <w:spacing w:after="120"/>
        <w:ind w:firstLine="567"/>
        <w:jc w:val="both"/>
      </w:pPr>
      <w:r>
        <w:rPr>
          <w:rFonts w:ascii="Arial" w:cs="Arial" w:eastAsia="Arial" w:hAnsi="Arial"/>
          <w:sz w:val="24"/>
          <w:szCs w:val="24"/>
        </w:rPr>
        <w:t xml:space="preserve">3. Для мэрий городов, площадь территории которых превышает 100000 гектаров, с учетом повышенной сложности реализации муниципальных полномочий, обусловленной значительной территорией обслуживания, допускается возможность увеличения предельной численности штатных единиц на семь единиц.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Предельная штатная численность местных кенешей (городских кенешей городов областного и районного значения, айылных кенешей)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для айылных аймаков и городов с численностью населения от 6001 до 20000 человек</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для айылных аймаков и городов с численностью населения от 20001 до 100000 человек</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для айылных аймаков и городов с численностью населения свыше 100001 человека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и младший обслуживающий персонал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r>
    </w:tbl>
    <w:p>
      <w:pPr>
        <w:spacing w:after="120" w:before="120"/>
        <w:ind w:firstLine="567"/>
        <w:jc w:val="both"/>
      </w:pPr>
      <w:r>
        <w:rPr>
          <w:rFonts w:ascii="Arial" w:cs="Arial" w:eastAsia="Arial" w:hAnsi="Arial"/>
          <w:sz w:val="24"/>
          <w:szCs w:val="24"/>
        </w:rPr>
        <w:t xml:space="preserve">Примечание. Решением местного кенеша может быть введена одна штатная единица секретаря-делопроизводителя, а при наличии служебного автомобиля - одна штатная единица водителя. Ведение бухгалтерского учета и отчетности местного кенеша осуществляется главным бухгалтером мэрии/айыл окмоту.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 В айыл окмоту с численностью населения до 10000 человек штатная единица ответственного секретаря не предусмотрена.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Мэр/Глава айыл окмоту
 _________________________________
 (ФИО)</w:t>
      </w:r>
    </w:p>
    <w:p>
      <w:pPr>
        <w:spacing w:after="120"/>
        <w:jc w:val="right"/>
      </w:pPr>
      <w:r>
        <w:rPr>
          <w:rFonts w:ascii="Arial" w:cs="Arial" w:eastAsia="Arial" w:hAnsi="Arial"/>
          <w:sz w:val="24"/>
          <w:szCs w:val="24"/>
        </w:rPr>
        <w:t xml:space="preserve">"___" ____________________ 202__ 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Типовая форма штатного расписания органа местного самоуправления</w:t>
      </w:r>
    </w:p>
    <w:p>
      <w:pPr>
        <w:spacing w:after="120" w:before="120"/>
        <w:jc w:val="center"/>
      </w:pPr>
      <w:r>
        <w:rPr>
          <w:rFonts w:ascii="Arial" w:cs="Arial" w:eastAsia="Arial" w:hAnsi="Arial"/>
          <w:sz w:val="24"/>
          <w:szCs w:val="24"/>
        </w:rPr>
        <w:t xml:space="preserve">_____________________________________________________________________
 (наименование ОМСУ)</w:t>
      </w:r>
    </w:p>
    <w:p>
      <w:pPr>
        <w:spacing w:after="120" w:before="120"/>
        <w:jc w:val="center"/>
      </w:pPr>
      <w:r>
        <w:rPr>
          <w:rFonts w:ascii="Arial" w:cs="Arial" w:eastAsia="Arial" w:hAnsi="Arial"/>
          <w:sz w:val="24"/>
          <w:szCs w:val="24"/>
        </w:rPr>
        <w:t xml:space="preserve">(в сомах)</w:t>
      </w:r>
    </w:p>
    <w:p>
      <w:pPr>
        <w:spacing w:after="120"/>
        <w:jc w:val="center"/>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379"/>
        <w:gridCol w:w="379"/>
        <w:gridCol w:w="379"/>
        <w:gridCol w:w="379"/>
        <w:gridCol w:w="379"/>
        <w:gridCol w:w="379"/>
        <w:gridCol w:w="379"/>
        <w:gridCol w:w="379"/>
        <w:gridCol w:w="374"/>
        <w:gridCol w:w="374"/>
        <w:gridCol w:w="374"/>
        <w:gridCol w:w="374"/>
        <w:gridCol w:w="374"/>
        <w:gridCol w:w="374"/>
        <w:gridCol w:w="374"/>
        <w:gridCol w:w="374"/>
        <w:gridCol w:w="374"/>
        <w:gridCol w:w="374"/>
        <w:gridCol w:w="379"/>
        <w:gridCol w:w="379"/>
        <w:gridCol w:w="379"/>
        <w:gridCol w:w="379"/>
        <w:gridCol w:w="379"/>
        <w:gridCol w:w="379"/>
        <w:gridCol w:w="379"/>
        <w:gridCol w:w="379"/>
      </w:tblGrid>
      <w:tr>
        <w:tc>
          <w:tcPr>
            <w:tcW w:type="dxa" w:w="3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в Реестре муниципальных должностей</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единиц</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Минимальная базовая ставка</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кратности</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Поправочный коэффициент</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Должностной оклад</w:t>
            </w:r>
          </w:p>
        </w:tc>
        <w:tc>
          <w:tcPr>
            <w:tcW w:type="dxa" w:w="374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Надбавки и доплаты</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месячная заработная плата</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месячная заработная плата</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Отпускные</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лечебных пособия к отпуску</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Премии</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Годовой фонд заработной платы</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Отчисления в Соцфонд</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Годовой фонд оплаты труда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Надбавка за выслугу лет</w:t>
            </w:r>
          </w:p>
        </w:tc>
        <w:tc>
          <w:tcPr>
            <w:tcW w:type="dxa" w:w="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Классный чин</w:t>
            </w:r>
          </w:p>
        </w:tc>
        <w:tc>
          <w:tcPr>
            <w:tcW w:type="dxa" w:w="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Надбавка за стаж работы в условиях высокогорья и отдаленных труднодоступных зонах</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Надбавка за ученую степень</w:t>
            </w:r>
          </w:p>
        </w:tc>
        <w:tc>
          <w:tcPr>
            <w:tcW w:type="dxa" w:w="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Надбавка к должностным окладам за секретный характер работы</w:t>
            </w:r>
          </w:p>
        </w:tc>
        <w:tc>
          <w:tcPr>
            <w:tcW w:type="dxa" w:w="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Иные надбавки и доплаты (добавить наименование)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kxbjkbamgbg-iwarlxkv">
      <w:r>
        <w:rPr>
          <w:rFonts w:ascii="Arial" w:cs="Arial" w:eastAsia="Arial" w:hAnsi="Arial"/>
          <w:color w:val="132D3F"/>
          <w:sz w:val="16"/>
          <w:szCs w:val="16"/>
          <w:u w:val="single"/>
        </w:rPr>
        <w:t xml:space="preserve">dalil.kg/document/230039816</w:t>
      </w:r>
    </w:hyperlink>
  </w:p>
  <w:p>
    <w:pPr>
      <w:spacing w:after="0" w:before="40"/>
      <w:jc w:val="center"/>
    </w:pPr>
    <w:hyperlink w:history="1" r:id="rIdujyhxvu2kudfrpyk8khj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ebsnxgisokxzq5qvahgm" Type="http://schemas.openxmlformats.org/officeDocument/2006/relationships/hyperlink" Target="https://dalil.kg/document/203289#st_1" TargetMode="External"/><Relationship Id="rIddy1cgdmtxzzadgvblw5mu" Type="http://schemas.openxmlformats.org/officeDocument/2006/relationships/hyperlink" Target="https://dalil.kg/document/112302#st_38" TargetMode="External"/><Relationship Id="rId14g11-isxdy3cvewqb9h6" Type="http://schemas.openxmlformats.org/officeDocument/2006/relationships/hyperlink" Target="https://dalil.kg/document/112302#st_43" TargetMode="External"/><Relationship Id="rIdtng5gntiumpfkyxoakcvq" Type="http://schemas.openxmlformats.org/officeDocument/2006/relationships/hyperlink" Target="https://dalil.kg/document/112302#st_50" TargetMode="External"/><Relationship Id="rIdm-cfqhut5uvtc6bq66d6s" Type="http://schemas.openxmlformats.org/officeDocument/2006/relationships/hyperlink" Target="https://dalil.kg/document/112301#st_13" TargetMode="External"/><Relationship Id="rIdckwnjk9uxawwz0vvv_wko" Type="http://schemas.openxmlformats.org/officeDocument/2006/relationships/hyperlink" Target="https://dalil.kg/document/112301#st_17" TargetMode="External"/><Relationship Id="rIdloh9uguuuk8qtrslqdnws" Type="http://schemas.openxmlformats.org/officeDocument/2006/relationships/hyperlink" Target="https://dalil.kg/document/230039816#pr1" TargetMode="External"/><Relationship Id="rIdb4m1no-z8z_n1cxsawj8l" Type="http://schemas.openxmlformats.org/officeDocument/2006/relationships/hyperlink" Target="https://dalil.kg/document/230039816#pr2" TargetMode="External"/><Relationship Id="rIdeuiwwx5lpjynoexe_j_lw" Type="http://schemas.openxmlformats.org/officeDocument/2006/relationships/hyperlink" Target="https://dalil.kg/document/230039816#pr3" TargetMode="External"/><Relationship Id="rIdmbr89rl3ghzriocngjsxe" Type="http://schemas.openxmlformats.org/officeDocument/2006/relationships/hyperlink" Target="https://dalil.kg/document/230039816#pr4" TargetMode="External"/><Relationship Id="rIdrypaxyccwqf26-ghnqsdw" Type="http://schemas.openxmlformats.org/officeDocument/2006/relationships/hyperlink" Target="https://dalil.kg/document/230039816#pr5" TargetMode="External"/><Relationship Id="rIdelwlfq5fk7n9vvam2zq_d" Type="http://schemas.openxmlformats.org/officeDocument/2006/relationships/hyperlink" Target="https://dalil.kg/document/230039816#pr6" TargetMode="External"/><Relationship Id="rIdfczg1lyjjajam7jkq6jbg" Type="http://schemas.openxmlformats.org/officeDocument/2006/relationships/hyperlink" Target="https://dalil.kg/document/230001964" TargetMode="External"/><Relationship Id="rIdc1ddl1hz5lgl7-izvu-4d" Type="http://schemas.openxmlformats.org/officeDocument/2006/relationships/hyperlink" Target="https://dalil.kg/document/230005150" TargetMode="External"/><Relationship Id="rIdyat2odzhhacxmfbobe8sf" Type="http://schemas.openxmlformats.org/officeDocument/2006/relationships/hyperlink" Target="https://dalil.kg/document/230008690" TargetMode="External"/><Relationship Id="rId274pnbjs0yk_la_awjdmo" Type="http://schemas.openxmlformats.org/officeDocument/2006/relationships/hyperlink" Target="https://dalil.kg/document/230029459" TargetMode="External"/><Relationship Id="rIdhq4220c0gx9t7kzntfnia" Type="http://schemas.openxmlformats.org/officeDocument/2006/relationships/hyperlink" Target="https://dalil.kg/document/230038007" TargetMode="External"/><Relationship Id="rIds60kablnks31pyksel96p" Type="http://schemas.openxmlformats.org/officeDocument/2006/relationships/hyperlink" Target="https://dalil.kg/document/230039191"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kxbjkbamgbg-iwarlxkv" Type="http://schemas.openxmlformats.org/officeDocument/2006/relationships/hyperlink" Target="https://dalil.kg/document/230039816" TargetMode="External"/><Relationship Id="rIdujyhxvu2kudfrpyk8khj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2026-09-24T14:00:01.695Z</dcterms:created>
  <dcterms:modified xsi:type="dcterms:W3CDTF">2026-09-24T14:00:01.695Z</dcterms:modified>
</cp:coreProperties>
</file>

<file path=docProps/custom.xml><?xml version="1.0" encoding="utf-8"?>
<Properties xmlns="http://schemas.openxmlformats.org/officeDocument/2006/custom-properties" xmlns:vt="http://schemas.openxmlformats.org/officeDocument/2006/docPropsVTypes"/>
</file>